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507776DB" w14:textId="77777777" w:rsidR="007D1E76" w:rsidRPr="00E74967" w:rsidRDefault="00520434" w:rsidP="00F067C8">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A0471C6" w:rsidR="007D1E76" w:rsidRPr="00E74967" w:rsidRDefault="007D1E76" w:rsidP="00F067C8">
      <w:pPr>
        <w:tabs>
          <w:tab w:val="left" w:leader="underscore" w:pos="9639"/>
        </w:tabs>
        <w:spacing w:after="0" w:line="240" w:lineRule="auto"/>
        <w:jc w:val="center"/>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08E5784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w:t>
      </w:r>
      <w:r w:rsidR="00967DDA">
        <w:rPr>
          <w:rFonts w:cs="Calibri"/>
        </w:rPr>
        <w:t>-</w:t>
      </w:r>
      <w:r w:rsidRPr="00E74967">
        <w:rPr>
          <w:rFonts w:cs="Calibri"/>
        </w:rPr>
        <w:t>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AD61893"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De esta manera, </w:t>
      </w:r>
      <w:r w:rsidR="00295B72" w:rsidRPr="00295B72">
        <w:rPr>
          <w:rFonts w:cs="Calibri"/>
        </w:rPr>
        <w:t>se informan y explican las condiciones relacionadas con la información financiera de cada período de gestión; además, de exponer aquellas políticas que podrían afectar la toma de decisiones en períodos posteriores.</w:t>
      </w:r>
      <w:r w:rsidR="00C93C67">
        <w:rPr>
          <w:rFonts w:cs="Calibri"/>
        </w:rPr>
        <w:t xml:space="preserve"> (</w:t>
      </w:r>
      <w:r w:rsidR="00C93C67" w:rsidRPr="00C93C67">
        <w:rPr>
          <w:rFonts w:cs="Calibri"/>
          <w:color w:val="2F5496" w:themeColor="accent5" w:themeShade="BF"/>
        </w:rPr>
        <w:t>DOF 06-12-2022</w:t>
      </w:r>
      <w:r w:rsidR="00C93C67">
        <w:rPr>
          <w:rFonts w:cs="Calibri"/>
        </w:rPr>
        <w:t>)</w:t>
      </w:r>
    </w:p>
    <w:p w14:paraId="009160FA" w14:textId="7F828C13" w:rsidR="007D1E76" w:rsidRPr="00E74967" w:rsidRDefault="007D1E76" w:rsidP="00CB41C4">
      <w:pPr>
        <w:pStyle w:val="Prrafodelista"/>
        <w:tabs>
          <w:tab w:val="left" w:leader="underscore" w:pos="9639"/>
        </w:tabs>
        <w:spacing w:after="0" w:line="240" w:lineRule="auto"/>
        <w:jc w:val="both"/>
        <w:rPr>
          <w:rFonts w:cs="Calibri"/>
        </w:rPr>
      </w:pPr>
    </w:p>
    <w:p w14:paraId="64420E1E" w14:textId="4E44B4A8"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rPr>
              <w:lang w:val="es-ES"/>
            </w:rPr>
          </w:pPr>
          <w:r>
            <w:rPr>
              <w:lang w:val="es-ES"/>
            </w:rPr>
            <w:t>Contenido</w:t>
          </w:r>
        </w:p>
        <w:p w14:paraId="6FC310E2" w14:textId="77777777" w:rsidR="00516100" w:rsidRPr="00516100" w:rsidRDefault="00516100" w:rsidP="00516100">
          <w:pPr>
            <w:rPr>
              <w:lang w:val="es-ES" w:eastAsia="es-MX"/>
            </w:rPr>
          </w:pPr>
        </w:p>
        <w:p w14:paraId="1A37D15B" w14:textId="1D0B559D" w:rsidR="005F51CC" w:rsidRDefault="00F46719">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r>
            <w:fldChar w:fldCharType="begin"/>
          </w:r>
          <w:r>
            <w:instrText xml:space="preserve"> TOC \o "1-3" \h \z \u </w:instrText>
          </w:r>
          <w:r>
            <w:fldChar w:fldCharType="separate"/>
          </w:r>
          <w:hyperlink w:anchor="_Toc161472866" w:history="1">
            <w:r w:rsidR="005F51CC" w:rsidRPr="005C0188">
              <w:rPr>
                <w:rStyle w:val="Hipervnculo"/>
                <w:rFonts w:cstheme="minorHAnsi"/>
                <w:b/>
                <w:noProof/>
              </w:rPr>
              <w:t>1. Autorización e Historia:</w:t>
            </w:r>
            <w:r w:rsidR="005F51CC">
              <w:rPr>
                <w:noProof/>
                <w:webHidden/>
              </w:rPr>
              <w:tab/>
            </w:r>
            <w:r w:rsidR="005F51CC">
              <w:rPr>
                <w:noProof/>
                <w:webHidden/>
              </w:rPr>
              <w:fldChar w:fldCharType="begin"/>
            </w:r>
            <w:r w:rsidR="005F51CC">
              <w:rPr>
                <w:noProof/>
                <w:webHidden/>
              </w:rPr>
              <w:instrText xml:space="preserve"> PAGEREF _Toc161472866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A6756CA" w14:textId="5428BD0E"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7" w:history="1">
            <w:r w:rsidR="005F51CC" w:rsidRPr="005C0188">
              <w:rPr>
                <w:rStyle w:val="Hipervnculo"/>
                <w:rFonts w:cstheme="minorHAnsi"/>
                <w:b/>
                <w:noProof/>
              </w:rPr>
              <w:t>2. Panorama Económico y Financiero</w:t>
            </w:r>
            <w:r w:rsidR="005F51CC">
              <w:rPr>
                <w:noProof/>
                <w:webHidden/>
              </w:rPr>
              <w:tab/>
            </w:r>
            <w:r w:rsidR="005F51CC">
              <w:rPr>
                <w:noProof/>
                <w:webHidden/>
              </w:rPr>
              <w:fldChar w:fldCharType="begin"/>
            </w:r>
            <w:r w:rsidR="005F51CC">
              <w:rPr>
                <w:noProof/>
                <w:webHidden/>
              </w:rPr>
              <w:instrText xml:space="preserve"> PAGEREF _Toc161472867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19796F35" w14:textId="77F3445E"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8" w:history="1">
            <w:r w:rsidR="005F51CC" w:rsidRPr="005C0188">
              <w:rPr>
                <w:rStyle w:val="Hipervnculo"/>
                <w:rFonts w:cstheme="minorHAnsi"/>
                <w:b/>
                <w:noProof/>
              </w:rPr>
              <w:t>3. Organización y Objeto Social:</w:t>
            </w:r>
            <w:r w:rsidR="005F51CC">
              <w:rPr>
                <w:noProof/>
                <w:webHidden/>
              </w:rPr>
              <w:tab/>
            </w:r>
            <w:r w:rsidR="005F51CC">
              <w:rPr>
                <w:noProof/>
                <w:webHidden/>
              </w:rPr>
              <w:fldChar w:fldCharType="begin"/>
            </w:r>
            <w:r w:rsidR="005F51CC">
              <w:rPr>
                <w:noProof/>
                <w:webHidden/>
              </w:rPr>
              <w:instrText xml:space="preserve"> PAGEREF _Toc161472868 \h </w:instrText>
            </w:r>
            <w:r w:rsidR="005F51CC">
              <w:rPr>
                <w:noProof/>
                <w:webHidden/>
              </w:rPr>
            </w:r>
            <w:r w:rsidR="005F51CC">
              <w:rPr>
                <w:noProof/>
                <w:webHidden/>
              </w:rPr>
              <w:fldChar w:fldCharType="separate"/>
            </w:r>
            <w:r w:rsidR="005F51CC">
              <w:rPr>
                <w:noProof/>
                <w:webHidden/>
              </w:rPr>
              <w:t>2</w:t>
            </w:r>
            <w:r w:rsidR="005F51CC">
              <w:rPr>
                <w:noProof/>
                <w:webHidden/>
              </w:rPr>
              <w:fldChar w:fldCharType="end"/>
            </w:r>
          </w:hyperlink>
        </w:p>
        <w:p w14:paraId="62AC0657" w14:textId="45278940"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69" w:history="1">
            <w:r w:rsidR="005F51CC" w:rsidRPr="005C0188">
              <w:rPr>
                <w:rStyle w:val="Hipervnculo"/>
                <w:rFonts w:cstheme="minorHAnsi"/>
                <w:b/>
                <w:noProof/>
              </w:rPr>
              <w:t>4. Bases de Preparación de los Estados Financieros:</w:t>
            </w:r>
            <w:r w:rsidR="005F51CC">
              <w:rPr>
                <w:noProof/>
                <w:webHidden/>
              </w:rPr>
              <w:tab/>
            </w:r>
            <w:r w:rsidR="005F51CC">
              <w:rPr>
                <w:noProof/>
                <w:webHidden/>
              </w:rPr>
              <w:fldChar w:fldCharType="begin"/>
            </w:r>
            <w:r w:rsidR="005F51CC">
              <w:rPr>
                <w:noProof/>
                <w:webHidden/>
              </w:rPr>
              <w:instrText xml:space="preserve"> PAGEREF _Toc161472869 \h </w:instrText>
            </w:r>
            <w:r w:rsidR="005F51CC">
              <w:rPr>
                <w:noProof/>
                <w:webHidden/>
              </w:rPr>
            </w:r>
            <w:r w:rsidR="005F51CC">
              <w:rPr>
                <w:noProof/>
                <w:webHidden/>
              </w:rPr>
              <w:fldChar w:fldCharType="separate"/>
            </w:r>
            <w:r w:rsidR="005F51CC">
              <w:rPr>
                <w:noProof/>
                <w:webHidden/>
              </w:rPr>
              <w:t>3</w:t>
            </w:r>
            <w:r w:rsidR="005F51CC">
              <w:rPr>
                <w:noProof/>
                <w:webHidden/>
              </w:rPr>
              <w:fldChar w:fldCharType="end"/>
            </w:r>
          </w:hyperlink>
        </w:p>
        <w:p w14:paraId="7C7C1962" w14:textId="7569E89F"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0" w:history="1">
            <w:r w:rsidR="005F51CC" w:rsidRPr="005C0188">
              <w:rPr>
                <w:rStyle w:val="Hipervnculo"/>
                <w:rFonts w:cstheme="minorHAnsi"/>
                <w:b/>
                <w:noProof/>
              </w:rPr>
              <w:t>5. Políticas de Contabilidad Significativas:</w:t>
            </w:r>
            <w:r w:rsidR="005F51CC">
              <w:rPr>
                <w:noProof/>
                <w:webHidden/>
              </w:rPr>
              <w:tab/>
            </w:r>
            <w:r w:rsidR="005F51CC">
              <w:rPr>
                <w:noProof/>
                <w:webHidden/>
              </w:rPr>
              <w:fldChar w:fldCharType="begin"/>
            </w:r>
            <w:r w:rsidR="005F51CC">
              <w:rPr>
                <w:noProof/>
                <w:webHidden/>
              </w:rPr>
              <w:instrText xml:space="preserve"> PAGEREF _Toc161472870 \h </w:instrText>
            </w:r>
            <w:r w:rsidR="005F51CC">
              <w:rPr>
                <w:noProof/>
                <w:webHidden/>
              </w:rPr>
            </w:r>
            <w:r w:rsidR="005F51CC">
              <w:rPr>
                <w:noProof/>
                <w:webHidden/>
              </w:rPr>
              <w:fldChar w:fldCharType="separate"/>
            </w:r>
            <w:r w:rsidR="005F51CC">
              <w:rPr>
                <w:noProof/>
                <w:webHidden/>
              </w:rPr>
              <w:t>4</w:t>
            </w:r>
            <w:r w:rsidR="005F51CC">
              <w:rPr>
                <w:noProof/>
                <w:webHidden/>
              </w:rPr>
              <w:fldChar w:fldCharType="end"/>
            </w:r>
          </w:hyperlink>
        </w:p>
        <w:p w14:paraId="3FE6C661" w14:textId="3433CD09"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1" w:history="1">
            <w:r w:rsidR="005F51CC" w:rsidRPr="005C0188">
              <w:rPr>
                <w:rStyle w:val="Hipervnculo"/>
                <w:rFonts w:cstheme="minorHAnsi"/>
                <w:b/>
                <w:noProof/>
              </w:rPr>
              <w:t>6. Posición en Moneda Extranjera y Protección por Riesgo Cambiario:</w:t>
            </w:r>
            <w:r w:rsidR="005F51CC">
              <w:rPr>
                <w:noProof/>
                <w:webHidden/>
              </w:rPr>
              <w:tab/>
            </w:r>
            <w:r w:rsidR="005F51CC">
              <w:rPr>
                <w:noProof/>
                <w:webHidden/>
              </w:rPr>
              <w:fldChar w:fldCharType="begin"/>
            </w:r>
            <w:r w:rsidR="005F51CC">
              <w:rPr>
                <w:noProof/>
                <w:webHidden/>
              </w:rPr>
              <w:instrText xml:space="preserve"> PAGEREF _Toc161472871 \h </w:instrText>
            </w:r>
            <w:r w:rsidR="005F51CC">
              <w:rPr>
                <w:noProof/>
                <w:webHidden/>
              </w:rPr>
            </w:r>
            <w:r w:rsidR="005F51CC">
              <w:rPr>
                <w:noProof/>
                <w:webHidden/>
              </w:rPr>
              <w:fldChar w:fldCharType="separate"/>
            </w:r>
            <w:r w:rsidR="005F51CC">
              <w:rPr>
                <w:noProof/>
                <w:webHidden/>
              </w:rPr>
              <w:t>6</w:t>
            </w:r>
            <w:r w:rsidR="005F51CC">
              <w:rPr>
                <w:noProof/>
                <w:webHidden/>
              </w:rPr>
              <w:fldChar w:fldCharType="end"/>
            </w:r>
          </w:hyperlink>
        </w:p>
        <w:p w14:paraId="135541CC" w14:textId="06594711"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2" w:history="1">
            <w:r w:rsidR="005F51CC" w:rsidRPr="005C0188">
              <w:rPr>
                <w:rStyle w:val="Hipervnculo"/>
                <w:rFonts w:cstheme="minorHAnsi"/>
                <w:b/>
                <w:noProof/>
              </w:rPr>
              <w:t>7. Reporte Analítico del Activo:</w:t>
            </w:r>
            <w:r w:rsidR="005F51CC">
              <w:rPr>
                <w:noProof/>
                <w:webHidden/>
              </w:rPr>
              <w:tab/>
            </w:r>
            <w:r w:rsidR="005F51CC">
              <w:rPr>
                <w:noProof/>
                <w:webHidden/>
              </w:rPr>
              <w:fldChar w:fldCharType="begin"/>
            </w:r>
            <w:r w:rsidR="005F51CC">
              <w:rPr>
                <w:noProof/>
                <w:webHidden/>
              </w:rPr>
              <w:instrText xml:space="preserve"> PAGEREF _Toc161472872 \h </w:instrText>
            </w:r>
            <w:r w:rsidR="005F51CC">
              <w:rPr>
                <w:noProof/>
                <w:webHidden/>
              </w:rPr>
            </w:r>
            <w:r w:rsidR="005F51CC">
              <w:rPr>
                <w:noProof/>
                <w:webHidden/>
              </w:rPr>
              <w:fldChar w:fldCharType="separate"/>
            </w:r>
            <w:r w:rsidR="005F51CC">
              <w:rPr>
                <w:noProof/>
                <w:webHidden/>
              </w:rPr>
              <w:t>7</w:t>
            </w:r>
            <w:r w:rsidR="005F51CC">
              <w:rPr>
                <w:noProof/>
                <w:webHidden/>
              </w:rPr>
              <w:fldChar w:fldCharType="end"/>
            </w:r>
          </w:hyperlink>
        </w:p>
        <w:p w14:paraId="48C9D852" w14:textId="5DDCB4F7"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3" w:history="1">
            <w:r w:rsidR="005F51CC" w:rsidRPr="005C0188">
              <w:rPr>
                <w:rStyle w:val="Hipervnculo"/>
                <w:rFonts w:cstheme="minorHAnsi"/>
                <w:b/>
                <w:noProof/>
              </w:rPr>
              <w:t>8. Fideicomisos, Mandatos y Análogos:</w:t>
            </w:r>
            <w:r w:rsidR="005F51CC">
              <w:rPr>
                <w:noProof/>
                <w:webHidden/>
              </w:rPr>
              <w:tab/>
            </w:r>
            <w:r w:rsidR="005F51CC">
              <w:rPr>
                <w:noProof/>
                <w:webHidden/>
              </w:rPr>
              <w:fldChar w:fldCharType="begin"/>
            </w:r>
            <w:r w:rsidR="005F51CC">
              <w:rPr>
                <w:noProof/>
                <w:webHidden/>
              </w:rPr>
              <w:instrText xml:space="preserve"> PAGEREF _Toc161472873 \h </w:instrText>
            </w:r>
            <w:r w:rsidR="005F51CC">
              <w:rPr>
                <w:noProof/>
                <w:webHidden/>
              </w:rPr>
            </w:r>
            <w:r w:rsidR="005F51CC">
              <w:rPr>
                <w:noProof/>
                <w:webHidden/>
              </w:rPr>
              <w:fldChar w:fldCharType="separate"/>
            </w:r>
            <w:r w:rsidR="005F51CC">
              <w:rPr>
                <w:noProof/>
                <w:webHidden/>
              </w:rPr>
              <w:t>8</w:t>
            </w:r>
            <w:r w:rsidR="005F51CC">
              <w:rPr>
                <w:noProof/>
                <w:webHidden/>
              </w:rPr>
              <w:fldChar w:fldCharType="end"/>
            </w:r>
          </w:hyperlink>
        </w:p>
        <w:p w14:paraId="027C97E3" w14:textId="6F133564"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4" w:history="1">
            <w:r w:rsidR="005F51CC" w:rsidRPr="005C0188">
              <w:rPr>
                <w:rStyle w:val="Hipervnculo"/>
                <w:rFonts w:cstheme="minorHAnsi"/>
                <w:b/>
                <w:noProof/>
              </w:rPr>
              <w:t>9. Reporte de la Recaudación:</w:t>
            </w:r>
            <w:r w:rsidR="005F51CC">
              <w:rPr>
                <w:noProof/>
                <w:webHidden/>
              </w:rPr>
              <w:tab/>
            </w:r>
            <w:r w:rsidR="005F51CC">
              <w:rPr>
                <w:noProof/>
                <w:webHidden/>
              </w:rPr>
              <w:fldChar w:fldCharType="begin"/>
            </w:r>
            <w:r w:rsidR="005F51CC">
              <w:rPr>
                <w:noProof/>
                <w:webHidden/>
              </w:rPr>
              <w:instrText xml:space="preserve"> PAGEREF _Toc161472874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DB87A1" w14:textId="0E5C6D6B"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5" w:history="1">
            <w:r w:rsidR="005F51CC" w:rsidRPr="005C0188">
              <w:rPr>
                <w:rStyle w:val="Hipervnculo"/>
                <w:rFonts w:cstheme="minorHAnsi"/>
                <w:b/>
                <w:noProof/>
              </w:rPr>
              <w:t>10. Información sobre la Deuda y el Reporte Analítico de la Deuda:</w:t>
            </w:r>
            <w:r w:rsidR="005F51CC">
              <w:rPr>
                <w:noProof/>
                <w:webHidden/>
              </w:rPr>
              <w:tab/>
            </w:r>
            <w:r w:rsidR="005F51CC">
              <w:rPr>
                <w:noProof/>
                <w:webHidden/>
              </w:rPr>
              <w:fldChar w:fldCharType="begin"/>
            </w:r>
            <w:r w:rsidR="005F51CC">
              <w:rPr>
                <w:noProof/>
                <w:webHidden/>
              </w:rPr>
              <w:instrText xml:space="preserve"> PAGEREF _Toc161472875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00EEECC2" w14:textId="7F2B838A"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6" w:history="1">
            <w:r w:rsidR="005F51CC" w:rsidRPr="005C0188">
              <w:rPr>
                <w:rStyle w:val="Hipervnculo"/>
                <w:rFonts w:cstheme="minorHAnsi"/>
                <w:b/>
                <w:noProof/>
              </w:rPr>
              <w:t>11. Calificaciones otorgadas:</w:t>
            </w:r>
            <w:r w:rsidR="005F51CC">
              <w:rPr>
                <w:noProof/>
                <w:webHidden/>
              </w:rPr>
              <w:tab/>
            </w:r>
            <w:r w:rsidR="005F51CC">
              <w:rPr>
                <w:noProof/>
                <w:webHidden/>
              </w:rPr>
              <w:fldChar w:fldCharType="begin"/>
            </w:r>
            <w:r w:rsidR="005F51CC">
              <w:rPr>
                <w:noProof/>
                <w:webHidden/>
              </w:rPr>
              <w:instrText xml:space="preserve"> PAGEREF _Toc161472876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68FD7A9A" w14:textId="2CE0C7FE"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7" w:history="1">
            <w:r w:rsidR="005F51CC" w:rsidRPr="005C0188">
              <w:rPr>
                <w:rStyle w:val="Hipervnculo"/>
                <w:rFonts w:cstheme="minorHAnsi"/>
                <w:b/>
                <w:noProof/>
              </w:rPr>
              <w:t>12. Proceso de Mejora:</w:t>
            </w:r>
            <w:r w:rsidR="005F51CC">
              <w:rPr>
                <w:noProof/>
                <w:webHidden/>
              </w:rPr>
              <w:tab/>
            </w:r>
            <w:r w:rsidR="005F51CC">
              <w:rPr>
                <w:noProof/>
                <w:webHidden/>
              </w:rPr>
              <w:fldChar w:fldCharType="begin"/>
            </w:r>
            <w:r w:rsidR="005F51CC">
              <w:rPr>
                <w:noProof/>
                <w:webHidden/>
              </w:rPr>
              <w:instrText xml:space="preserve"> PAGEREF _Toc161472877 \h </w:instrText>
            </w:r>
            <w:r w:rsidR="005F51CC">
              <w:rPr>
                <w:noProof/>
                <w:webHidden/>
              </w:rPr>
            </w:r>
            <w:r w:rsidR="005F51CC">
              <w:rPr>
                <w:noProof/>
                <w:webHidden/>
              </w:rPr>
              <w:fldChar w:fldCharType="separate"/>
            </w:r>
            <w:r w:rsidR="005F51CC">
              <w:rPr>
                <w:noProof/>
                <w:webHidden/>
              </w:rPr>
              <w:t>9</w:t>
            </w:r>
            <w:r w:rsidR="005F51CC">
              <w:rPr>
                <w:noProof/>
                <w:webHidden/>
              </w:rPr>
              <w:fldChar w:fldCharType="end"/>
            </w:r>
          </w:hyperlink>
        </w:p>
        <w:p w14:paraId="5F55527F" w14:textId="527A5CEA"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8" w:history="1">
            <w:r w:rsidR="005F51CC" w:rsidRPr="005C0188">
              <w:rPr>
                <w:rStyle w:val="Hipervnculo"/>
                <w:rFonts w:cstheme="minorHAnsi"/>
                <w:b/>
                <w:noProof/>
              </w:rPr>
              <w:t>13. Información por Segmentos:</w:t>
            </w:r>
            <w:r w:rsidR="005F51CC">
              <w:rPr>
                <w:noProof/>
                <w:webHidden/>
              </w:rPr>
              <w:tab/>
            </w:r>
            <w:r w:rsidR="005F51CC">
              <w:rPr>
                <w:noProof/>
                <w:webHidden/>
              </w:rPr>
              <w:fldChar w:fldCharType="begin"/>
            </w:r>
            <w:r w:rsidR="005F51CC">
              <w:rPr>
                <w:noProof/>
                <w:webHidden/>
              </w:rPr>
              <w:instrText xml:space="preserve"> PAGEREF _Toc161472878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674ABB69" w14:textId="7086AD9C"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79" w:history="1">
            <w:r w:rsidR="005F51CC" w:rsidRPr="005C0188">
              <w:rPr>
                <w:rStyle w:val="Hipervnculo"/>
                <w:rFonts w:cstheme="minorHAnsi"/>
                <w:b/>
                <w:noProof/>
              </w:rPr>
              <w:t>14. Eventos Posteriores al Cierre:</w:t>
            </w:r>
            <w:r w:rsidR="005F51CC">
              <w:rPr>
                <w:noProof/>
                <w:webHidden/>
              </w:rPr>
              <w:tab/>
            </w:r>
            <w:r w:rsidR="005F51CC">
              <w:rPr>
                <w:noProof/>
                <w:webHidden/>
              </w:rPr>
              <w:fldChar w:fldCharType="begin"/>
            </w:r>
            <w:r w:rsidR="005F51CC">
              <w:rPr>
                <w:noProof/>
                <w:webHidden/>
              </w:rPr>
              <w:instrText xml:space="preserve"> PAGEREF _Toc161472879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39048CDA" w14:textId="5AD0C96E"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0" w:history="1">
            <w:r w:rsidR="005F51CC" w:rsidRPr="005C0188">
              <w:rPr>
                <w:rStyle w:val="Hipervnculo"/>
                <w:rFonts w:cstheme="minorHAnsi"/>
                <w:b/>
                <w:noProof/>
              </w:rPr>
              <w:t>15. Partes Relacionadas:</w:t>
            </w:r>
            <w:r w:rsidR="005F51CC">
              <w:rPr>
                <w:noProof/>
                <w:webHidden/>
              </w:rPr>
              <w:tab/>
            </w:r>
            <w:r w:rsidR="005F51CC">
              <w:rPr>
                <w:noProof/>
                <w:webHidden/>
              </w:rPr>
              <w:fldChar w:fldCharType="begin"/>
            </w:r>
            <w:r w:rsidR="005F51CC">
              <w:rPr>
                <w:noProof/>
                <w:webHidden/>
              </w:rPr>
              <w:instrText xml:space="preserve"> PAGEREF _Toc161472880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7E9C5BA3" w14:textId="2249A661" w:rsidR="005F51CC" w:rsidRDefault="00520434">
          <w:pPr>
            <w:pStyle w:val="TDC2"/>
            <w:tabs>
              <w:tab w:val="right" w:leader="dot" w:pos="9678"/>
            </w:tabs>
            <w:rPr>
              <w:rFonts w:asciiTheme="minorHAnsi" w:eastAsiaTheme="minorEastAsia" w:hAnsiTheme="minorHAnsi" w:cstheme="minorBidi"/>
              <w:noProof/>
              <w:kern w:val="2"/>
              <w:sz w:val="24"/>
              <w:szCs w:val="24"/>
              <w:lang w:eastAsia="es-MX"/>
              <w14:ligatures w14:val="standardContextual"/>
            </w:rPr>
          </w:pPr>
          <w:hyperlink w:anchor="_Toc161472881" w:history="1">
            <w:r w:rsidR="005F51CC" w:rsidRPr="005C0188">
              <w:rPr>
                <w:rStyle w:val="Hipervnculo"/>
                <w:rFonts w:cstheme="minorHAnsi"/>
                <w:b/>
                <w:noProof/>
              </w:rPr>
              <w:t>16. Responsabilidad Sobre la Presentación Razonable de la Información Contable:</w:t>
            </w:r>
            <w:r w:rsidR="005F51CC">
              <w:rPr>
                <w:noProof/>
                <w:webHidden/>
              </w:rPr>
              <w:tab/>
            </w:r>
            <w:r w:rsidR="005F51CC">
              <w:rPr>
                <w:noProof/>
                <w:webHidden/>
              </w:rPr>
              <w:fldChar w:fldCharType="begin"/>
            </w:r>
            <w:r w:rsidR="005F51CC">
              <w:rPr>
                <w:noProof/>
                <w:webHidden/>
              </w:rPr>
              <w:instrText xml:space="preserve"> PAGEREF _Toc161472881 \h </w:instrText>
            </w:r>
            <w:r w:rsidR="005F51CC">
              <w:rPr>
                <w:noProof/>
                <w:webHidden/>
              </w:rPr>
            </w:r>
            <w:r w:rsidR="005F51CC">
              <w:rPr>
                <w:noProof/>
                <w:webHidden/>
              </w:rPr>
              <w:fldChar w:fldCharType="separate"/>
            </w:r>
            <w:r w:rsidR="005F51CC">
              <w:rPr>
                <w:noProof/>
                <w:webHidden/>
              </w:rPr>
              <w:t>10</w:t>
            </w:r>
            <w:r w:rsidR="005F51CC">
              <w:rPr>
                <w:noProof/>
                <w:webHidden/>
              </w:rPr>
              <w:fldChar w:fldCharType="end"/>
            </w:r>
          </w:hyperlink>
        </w:p>
        <w:p w14:paraId="43551857" w14:textId="4F747141" w:rsidR="00F46719" w:rsidRDefault="00F46719">
          <w:r>
            <w:rPr>
              <w:b/>
              <w:bCs/>
              <w:lang w:val="es-ES"/>
            </w:rPr>
            <w:lastRenderedPageBreak/>
            <w:fldChar w:fldCharType="end"/>
          </w:r>
        </w:p>
      </w:sdtContent>
    </w:sdt>
    <w:p w14:paraId="7203E26E"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09BF8276" w:rsidR="007D1E76" w:rsidRPr="000C3365" w:rsidRDefault="007E38A2" w:rsidP="000C3365">
      <w:pPr>
        <w:pStyle w:val="Ttulo2"/>
        <w:rPr>
          <w:rFonts w:asciiTheme="minorHAnsi" w:hAnsiTheme="minorHAnsi" w:cstheme="minorHAnsi"/>
          <w:b/>
          <w:color w:val="auto"/>
          <w:sz w:val="22"/>
        </w:rPr>
      </w:pPr>
      <w:bookmarkStart w:id="0" w:name="_Toc161472866"/>
      <w:r>
        <w:rPr>
          <w:rFonts w:asciiTheme="minorHAnsi" w:hAnsiTheme="minorHAnsi" w:cstheme="minorHAnsi"/>
          <w:b/>
          <w:color w:val="auto"/>
          <w:sz w:val="22"/>
        </w:rPr>
        <w:t>1</w:t>
      </w:r>
      <w:r w:rsidR="007D1E76" w:rsidRPr="000C3365">
        <w:rPr>
          <w:rFonts w:asciiTheme="minorHAnsi" w:hAnsiTheme="minorHAnsi" w:cstheme="minorHAnsi"/>
          <w:b/>
          <w:color w:val="auto"/>
          <w:sz w:val="22"/>
        </w:rPr>
        <w:t>. Autoriza</w:t>
      </w:r>
      <w:r w:rsidR="00E00323" w:rsidRPr="000C3365">
        <w:rPr>
          <w:rFonts w:asciiTheme="minorHAnsi" w:hAnsiTheme="minorHAnsi" w:cstheme="minorHAnsi"/>
          <w:b/>
          <w:color w:val="auto"/>
          <w:sz w:val="22"/>
        </w:rPr>
        <w:t>ción e Historia:</w:t>
      </w:r>
      <w:bookmarkEnd w:id="0"/>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31E4AC08" w:rsidR="007D1E76" w:rsidRDefault="007D1E76" w:rsidP="00CB41C4">
      <w:pPr>
        <w:tabs>
          <w:tab w:val="left" w:leader="underscore" w:pos="9639"/>
        </w:tabs>
        <w:spacing w:after="0" w:line="240" w:lineRule="auto"/>
        <w:jc w:val="both"/>
        <w:rPr>
          <w:rFonts w:cs="Calibri"/>
        </w:rPr>
      </w:pPr>
      <w:r w:rsidRPr="00E74967">
        <w:rPr>
          <w:rFonts w:cs="Calibri"/>
        </w:rPr>
        <w:t>Se informará sobre:</w:t>
      </w:r>
    </w:p>
    <w:p w14:paraId="58117EE1" w14:textId="77777777" w:rsidR="008C33F0" w:rsidRPr="00F04170" w:rsidRDefault="008C33F0" w:rsidP="008C33F0">
      <w:pPr>
        <w:spacing w:after="0" w:line="240" w:lineRule="auto"/>
        <w:jc w:val="both"/>
        <w:rPr>
          <w:rFonts w:cs="Calibri"/>
        </w:rPr>
      </w:pPr>
      <w:r w:rsidRPr="00F04170">
        <w:rPr>
          <w:rFonts w:cs="Calibri"/>
        </w:rPr>
        <w:t xml:space="preserve">El </w:t>
      </w:r>
      <w:bookmarkStart w:id="1" w:name="_Hlk507892619"/>
      <w:r w:rsidRPr="00F04170">
        <w:rPr>
          <w:rFonts w:cs="Calibri"/>
        </w:rPr>
        <w:t>Instituto Municipal de la Juventud de León Guanajuato</w:t>
      </w:r>
      <w:bookmarkEnd w:id="1"/>
      <w:r w:rsidRPr="00F04170">
        <w:rPr>
          <w:rFonts w:cs="Calibri"/>
        </w:rPr>
        <w:t xml:space="preserve"> es un ente público sin fines de lucro que tiene como objetivo atender a la población de jóvenes leones para propiciar su inclusión y desarrollo dentro de la sociedad a la que pertenecen.</w:t>
      </w:r>
    </w:p>
    <w:p w14:paraId="2CA88560" w14:textId="77777777" w:rsidR="008C33F0" w:rsidRPr="00E74967" w:rsidRDefault="008C33F0" w:rsidP="00CB41C4">
      <w:pPr>
        <w:tabs>
          <w:tab w:val="left" w:leader="underscore" w:pos="9639"/>
        </w:tabs>
        <w:spacing w:after="0" w:line="240" w:lineRule="auto"/>
        <w:jc w:val="both"/>
        <w:rPr>
          <w:rFonts w:cs="Calibri"/>
        </w:rPr>
      </w:pP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2F8AFA1"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r w:rsidR="00F43AC5">
        <w:rPr>
          <w:rFonts w:cs="Calibri"/>
        </w:rPr>
        <w:t xml:space="preserve"> público.</w:t>
      </w:r>
    </w:p>
    <w:p w14:paraId="47143EA4" w14:textId="77777777" w:rsidR="00480BF4" w:rsidRPr="00E74967" w:rsidRDefault="00480BF4" w:rsidP="00480BF4">
      <w:pPr>
        <w:tabs>
          <w:tab w:val="left" w:leader="underscore" w:pos="9639"/>
        </w:tabs>
        <w:spacing w:after="0" w:line="240" w:lineRule="auto"/>
        <w:jc w:val="both"/>
        <w:rPr>
          <w:rFonts w:cs="Calibri"/>
        </w:rPr>
      </w:pPr>
      <w:r>
        <w:rPr>
          <w:rFonts w:cs="Calibri"/>
        </w:rPr>
        <w:t>Fue creado el 30 de noviembre de 1998.</w:t>
      </w: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3843474F" w14:textId="77777777" w:rsidR="007D1E76" w:rsidRPr="00E74967" w:rsidRDefault="007D1E76" w:rsidP="00CB41C4">
      <w:pPr>
        <w:tabs>
          <w:tab w:val="left" w:leader="underscore" w:pos="9639"/>
        </w:tabs>
        <w:spacing w:after="0" w:line="240" w:lineRule="auto"/>
        <w:jc w:val="both"/>
        <w:rPr>
          <w:rFonts w:cs="Calibri"/>
        </w:rPr>
      </w:pPr>
    </w:p>
    <w:p w14:paraId="16A215A1" w14:textId="77777777" w:rsidR="00516A8F" w:rsidRPr="00E74967" w:rsidRDefault="00516A8F" w:rsidP="00516A8F">
      <w:pPr>
        <w:tabs>
          <w:tab w:val="left" w:leader="underscore" w:pos="9639"/>
        </w:tabs>
        <w:spacing w:after="0" w:line="240" w:lineRule="auto"/>
        <w:jc w:val="both"/>
        <w:rPr>
          <w:rFonts w:cs="Calibri"/>
        </w:rPr>
      </w:pPr>
    </w:p>
    <w:p w14:paraId="5A494C73" w14:textId="7B672A6D" w:rsidR="00BE02EB" w:rsidRDefault="00BE02EB" w:rsidP="000C3365">
      <w:pPr>
        <w:pStyle w:val="Ttulo2"/>
        <w:rPr>
          <w:rFonts w:asciiTheme="minorHAnsi" w:hAnsiTheme="minorHAnsi" w:cstheme="minorHAnsi"/>
          <w:b/>
          <w:color w:val="auto"/>
          <w:sz w:val="22"/>
        </w:rPr>
      </w:pPr>
      <w:bookmarkStart w:id="2" w:name="_Toc161472867"/>
      <w:r>
        <w:rPr>
          <w:rFonts w:asciiTheme="minorHAnsi" w:hAnsiTheme="minorHAnsi" w:cstheme="minorHAnsi"/>
          <w:b/>
          <w:color w:val="auto"/>
          <w:sz w:val="22"/>
        </w:rPr>
        <w:t xml:space="preserve">2. </w:t>
      </w:r>
      <w:r w:rsidR="00B6368B" w:rsidRPr="00B6368B">
        <w:rPr>
          <w:rFonts w:asciiTheme="minorHAnsi" w:hAnsiTheme="minorHAnsi" w:cstheme="minorHAnsi"/>
          <w:b/>
          <w:color w:val="auto"/>
          <w:sz w:val="22"/>
        </w:rPr>
        <w:t>Panorama Económico y Financiero</w:t>
      </w:r>
      <w:bookmarkEnd w:id="2"/>
    </w:p>
    <w:p w14:paraId="6841A9BC" w14:textId="5D77F1EF" w:rsidR="0012493A" w:rsidRPr="00E74967" w:rsidRDefault="0012493A" w:rsidP="0012493A">
      <w:pPr>
        <w:tabs>
          <w:tab w:val="left" w:leader="underscore" w:pos="9639"/>
        </w:tabs>
        <w:spacing w:after="0" w:line="240" w:lineRule="auto"/>
        <w:jc w:val="both"/>
        <w:rPr>
          <w:rFonts w:cs="Calibri"/>
        </w:rPr>
      </w:pPr>
      <w:r w:rsidRPr="0012493A">
        <w:rPr>
          <w:rFonts w:cs="Calibri"/>
        </w:rPr>
        <w:t>Se informará sobre las principales condiciones económico-financieras bajo las cuales el ente público estuvo operando; y las cuales influyeron en la toma de decisiones de la administración; tanto a nivel local como federal.</w:t>
      </w:r>
    </w:p>
    <w:p w14:paraId="1725D834" w14:textId="77777777" w:rsidR="0073339B" w:rsidRPr="00E74967" w:rsidRDefault="0073339B" w:rsidP="0073339B">
      <w:pPr>
        <w:spacing w:after="0" w:line="240" w:lineRule="auto"/>
        <w:jc w:val="both"/>
        <w:rPr>
          <w:rFonts w:cs="Calibri"/>
        </w:rPr>
      </w:pPr>
      <w:r>
        <w:rPr>
          <w:rFonts w:cs="Calibri"/>
        </w:rPr>
        <w:t>El Instituto Municipal de la Juventud de León Guanajuato opera bajo los recursos que la Presidencia Municipal de León, Guanajuato le otorga como subsidio para el cumplimiento de su objetivo.</w:t>
      </w:r>
    </w:p>
    <w:p w14:paraId="208447E6" w14:textId="77777777" w:rsidR="0012493A" w:rsidRDefault="0012493A" w:rsidP="00516A8F">
      <w:pPr>
        <w:tabs>
          <w:tab w:val="left" w:leader="underscore" w:pos="9639"/>
        </w:tabs>
        <w:spacing w:after="0" w:line="240" w:lineRule="auto"/>
        <w:jc w:val="both"/>
        <w:rPr>
          <w:rFonts w:cs="Calibri"/>
        </w:rPr>
      </w:pPr>
    </w:p>
    <w:p w14:paraId="0305CEA0" w14:textId="77777777" w:rsidR="0012493A" w:rsidRPr="00E74967" w:rsidRDefault="0012493A" w:rsidP="00516A8F">
      <w:pPr>
        <w:tabs>
          <w:tab w:val="left" w:leader="underscore" w:pos="9639"/>
        </w:tabs>
        <w:spacing w:after="0" w:line="240" w:lineRule="auto"/>
        <w:jc w:val="both"/>
        <w:rPr>
          <w:rFonts w:cs="Calibri"/>
        </w:rPr>
      </w:pPr>
    </w:p>
    <w:p w14:paraId="08136E94" w14:textId="2B775A1C" w:rsidR="007D1E76" w:rsidRPr="000C3365" w:rsidRDefault="009736CB" w:rsidP="000C3365">
      <w:pPr>
        <w:pStyle w:val="Ttulo2"/>
        <w:rPr>
          <w:rFonts w:asciiTheme="minorHAnsi" w:hAnsiTheme="minorHAnsi" w:cstheme="minorHAnsi"/>
          <w:b/>
          <w:color w:val="auto"/>
          <w:sz w:val="22"/>
        </w:rPr>
      </w:pPr>
      <w:bookmarkStart w:id="3" w:name="_Toc161472868"/>
      <w:r>
        <w:rPr>
          <w:rFonts w:asciiTheme="minorHAnsi" w:hAnsiTheme="minorHAnsi" w:cstheme="minorHAnsi"/>
          <w:b/>
          <w:color w:val="auto"/>
          <w:sz w:val="22"/>
        </w:rPr>
        <w:t>3</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079F8C48" w14:textId="77777777" w:rsidR="00480BF4" w:rsidRPr="00E74967" w:rsidRDefault="00480BF4" w:rsidP="00480BF4">
      <w:pPr>
        <w:tabs>
          <w:tab w:val="left" w:leader="underscore" w:pos="9639"/>
        </w:tabs>
        <w:spacing w:after="0" w:line="240" w:lineRule="auto"/>
        <w:jc w:val="both"/>
        <w:rPr>
          <w:rFonts w:cs="Calibri"/>
        </w:rPr>
      </w:pPr>
      <w:r>
        <w:t>Fomentar y promover la participación de los jóvenes de entre 12 a 29 años 11 meses de edad, que viven en el Municipio de León, en especial a los más vulnerables a través de programas, proyectos y acciones que propicien su desarrollo social, físico, político, recreativo, cultural y económico.</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292A6A94" w14:textId="77777777" w:rsidR="00480BF4" w:rsidRPr="00E74967" w:rsidRDefault="00480BF4" w:rsidP="00480BF4">
      <w:pPr>
        <w:spacing w:after="0" w:line="240" w:lineRule="auto"/>
        <w:jc w:val="both"/>
        <w:rPr>
          <w:rFonts w:cs="Calibri"/>
        </w:rPr>
      </w:pPr>
      <w:r>
        <w:rPr>
          <w:rFonts w:cs="Calibri"/>
        </w:rPr>
        <w:t>Desarrollo de actividades dirigidas a los jóvenes leones con la finalidad de buscar su desarrollo y atención.</w:t>
      </w:r>
    </w:p>
    <w:p w14:paraId="25E068D1" w14:textId="2114F652" w:rsidR="007D1E76" w:rsidRDefault="007D1E76" w:rsidP="00CB41C4">
      <w:pPr>
        <w:tabs>
          <w:tab w:val="left" w:leader="underscore" w:pos="9639"/>
        </w:tabs>
        <w:spacing w:after="0" w:line="240" w:lineRule="auto"/>
        <w:jc w:val="both"/>
        <w:rPr>
          <w:rFonts w:cs="Calibri"/>
        </w:rPr>
      </w:pPr>
    </w:p>
    <w:p w14:paraId="15F90EEC" w14:textId="77777777" w:rsidR="00CB41C4" w:rsidRPr="00E74967" w:rsidRDefault="00CB41C4" w:rsidP="00CB41C4">
      <w:pPr>
        <w:tabs>
          <w:tab w:val="left" w:leader="underscore" w:pos="9639"/>
        </w:tabs>
        <w:spacing w:after="0" w:line="240" w:lineRule="auto"/>
        <w:jc w:val="both"/>
        <w:rPr>
          <w:rFonts w:cs="Calibri"/>
        </w:rPr>
      </w:pPr>
    </w:p>
    <w:p w14:paraId="2D21CE61" w14:textId="6D32D0F0"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9736CB">
        <w:rPr>
          <w:rFonts w:cs="Calibri"/>
        </w:rPr>
        <w:t>24</w:t>
      </w:r>
      <w:r w:rsidRPr="00E74967">
        <w:rPr>
          <w:rFonts w:cs="Calibri"/>
        </w:rPr>
        <w:t>).</w:t>
      </w:r>
    </w:p>
    <w:p w14:paraId="75AD8FE9" w14:textId="73ACB2A1" w:rsidR="00480BF4" w:rsidRPr="00E74967" w:rsidRDefault="00480BF4" w:rsidP="00480BF4">
      <w:pPr>
        <w:tabs>
          <w:tab w:val="left" w:leader="underscore" w:pos="9639"/>
        </w:tabs>
        <w:spacing w:after="0" w:line="240" w:lineRule="auto"/>
        <w:jc w:val="both"/>
        <w:rPr>
          <w:rFonts w:cs="Calibri"/>
        </w:rPr>
      </w:pPr>
      <w:r>
        <w:rPr>
          <w:rFonts w:cs="Calibri"/>
        </w:rPr>
        <w:t>Del 01 de enero al 31 de marzo del 2024</w:t>
      </w:r>
    </w:p>
    <w:p w14:paraId="04F7186A" w14:textId="611820C2" w:rsidR="007D1E76" w:rsidRPr="00E74967" w:rsidRDefault="007D1E76" w:rsidP="00CB41C4">
      <w:pPr>
        <w:tabs>
          <w:tab w:val="left" w:leader="underscore" w:pos="9639"/>
        </w:tabs>
        <w:spacing w:after="0" w:line="240" w:lineRule="auto"/>
        <w:jc w:val="both"/>
        <w:rPr>
          <w:rFonts w:cs="Calibri"/>
        </w:rPr>
      </w:pPr>
    </w:p>
    <w:p w14:paraId="16703E54" w14:textId="77777777" w:rsidR="007D1E76" w:rsidRPr="00E74967" w:rsidRDefault="007D1E76" w:rsidP="00CB41C4">
      <w:pPr>
        <w:tabs>
          <w:tab w:val="left" w:leader="underscore" w:pos="9639"/>
        </w:tabs>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73D8CA0C" w14:textId="77777777" w:rsidR="00480BF4" w:rsidRPr="00E74967" w:rsidRDefault="00480BF4" w:rsidP="00480BF4">
      <w:pPr>
        <w:tabs>
          <w:tab w:val="left" w:leader="underscore" w:pos="9639"/>
        </w:tabs>
        <w:spacing w:after="0" w:line="240" w:lineRule="auto"/>
        <w:jc w:val="both"/>
        <w:rPr>
          <w:rFonts w:cs="Calibri"/>
        </w:rPr>
      </w:pPr>
      <w:r>
        <w:rPr>
          <w:rFonts w:cs="Calibri"/>
        </w:rPr>
        <w:lastRenderedPageBreak/>
        <w:t xml:space="preserve">Instituto Municipal de la Juventud de León Guanajuato Persona Moral sin fines de </w:t>
      </w:r>
      <w:proofErr w:type="gramStart"/>
      <w:r>
        <w:rPr>
          <w:rFonts w:cs="Calibri"/>
        </w:rPr>
        <w:t>lucro.-</w:t>
      </w:r>
      <w:proofErr w:type="gramEnd"/>
      <w:r>
        <w:rPr>
          <w:rFonts w:cs="Calibri"/>
        </w:rPr>
        <w:t xml:space="preserve"> Institución de Asistencia Social. (I de A.S.)</w:t>
      </w:r>
    </w:p>
    <w:p w14:paraId="68B22724" w14:textId="77777777"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16A556E9" w14:textId="77777777" w:rsidR="00480BF4" w:rsidRDefault="00480BF4" w:rsidP="00480BF4">
      <w:pPr>
        <w:tabs>
          <w:tab w:val="left" w:leader="underscore" w:pos="9639"/>
        </w:tabs>
        <w:spacing w:after="0" w:line="240" w:lineRule="auto"/>
        <w:jc w:val="both"/>
        <w:rPr>
          <w:rFonts w:cs="Calibri"/>
        </w:rPr>
      </w:pPr>
      <w:r>
        <w:rPr>
          <w:rFonts w:cs="Calibri"/>
        </w:rPr>
        <w:t>Entero de Retenciones de ISR por sueldos y salarios mensuales</w:t>
      </w:r>
    </w:p>
    <w:p w14:paraId="6003D586" w14:textId="77777777" w:rsidR="00480BF4" w:rsidRDefault="00480BF4" w:rsidP="00480BF4">
      <w:pPr>
        <w:tabs>
          <w:tab w:val="left" w:leader="underscore" w:pos="9639"/>
        </w:tabs>
        <w:spacing w:after="0" w:line="240" w:lineRule="auto"/>
        <w:jc w:val="both"/>
        <w:rPr>
          <w:rFonts w:cs="Calibri"/>
        </w:rPr>
      </w:pPr>
      <w:r>
        <w:rPr>
          <w:rFonts w:cs="Calibri"/>
        </w:rPr>
        <w:t>Entero y Retenciones de ISR por Servicios Profesionales Mensuales</w:t>
      </w:r>
    </w:p>
    <w:p w14:paraId="0E236E51" w14:textId="77777777" w:rsidR="00480BF4" w:rsidRPr="00E74967" w:rsidRDefault="00480BF4" w:rsidP="00480BF4">
      <w:pPr>
        <w:tabs>
          <w:tab w:val="left" w:leader="underscore" w:pos="9639"/>
        </w:tabs>
        <w:spacing w:after="0" w:line="240" w:lineRule="auto"/>
        <w:jc w:val="both"/>
        <w:rPr>
          <w:rFonts w:cs="Calibri"/>
        </w:rPr>
      </w:pPr>
      <w:r>
        <w:rPr>
          <w:rFonts w:cs="Calibri"/>
        </w:rPr>
        <w:t>Entero y Retenciones de IVA por Servicios Profesionales Mensuales</w:t>
      </w:r>
    </w:p>
    <w:p w14:paraId="004BDDD7" w14:textId="77777777" w:rsidR="00480BF4" w:rsidRDefault="00480BF4" w:rsidP="00480BF4">
      <w:pPr>
        <w:tabs>
          <w:tab w:val="left" w:leader="underscore" w:pos="9639"/>
        </w:tabs>
        <w:spacing w:after="0" w:line="240" w:lineRule="auto"/>
        <w:jc w:val="both"/>
        <w:rPr>
          <w:rFonts w:cs="Calibri"/>
        </w:rPr>
      </w:pPr>
      <w:proofErr w:type="spellStart"/>
      <w:r>
        <w:rPr>
          <w:rFonts w:cs="Calibri"/>
        </w:rPr>
        <w:t>Imss</w:t>
      </w:r>
      <w:proofErr w:type="spellEnd"/>
      <w:r>
        <w:rPr>
          <w:rFonts w:cs="Calibri"/>
        </w:rPr>
        <w:t xml:space="preserve"> e Infonavit mensual y bimestral</w:t>
      </w:r>
    </w:p>
    <w:p w14:paraId="798A2E5C" w14:textId="77777777" w:rsidR="00480BF4" w:rsidRDefault="00480BF4" w:rsidP="00480BF4">
      <w:pPr>
        <w:tabs>
          <w:tab w:val="left" w:leader="underscore" w:pos="9639"/>
        </w:tabs>
        <w:spacing w:after="0" w:line="240" w:lineRule="auto"/>
        <w:jc w:val="both"/>
        <w:rPr>
          <w:rFonts w:cs="Calibri"/>
        </w:rPr>
      </w:pPr>
      <w:r>
        <w:rPr>
          <w:rFonts w:cs="Calibri"/>
        </w:rPr>
        <w:t>Entero de Cedular retención por Nominas sueldos y salarios</w:t>
      </w:r>
    </w:p>
    <w:p w14:paraId="45217489" w14:textId="77777777" w:rsidR="00480BF4" w:rsidRDefault="00480BF4" w:rsidP="00480BF4">
      <w:pPr>
        <w:tabs>
          <w:tab w:val="left" w:leader="underscore" w:pos="9639"/>
        </w:tabs>
        <w:spacing w:after="0" w:line="240" w:lineRule="auto"/>
        <w:jc w:val="both"/>
        <w:rPr>
          <w:rFonts w:cs="Calibri"/>
        </w:rPr>
      </w:pPr>
      <w:r>
        <w:rPr>
          <w:rFonts w:cs="Calibri"/>
        </w:rPr>
        <w:t>Entero de Cedular retención por Honorarios Servicios Profesionales</w:t>
      </w: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45085FA9" w14:textId="53641827" w:rsidR="0054701E" w:rsidRDefault="007D1E76" w:rsidP="000F5FB1">
      <w:pPr>
        <w:tabs>
          <w:tab w:val="left" w:leader="underscore" w:pos="9639"/>
        </w:tabs>
        <w:spacing w:after="0" w:line="240" w:lineRule="auto"/>
        <w:ind w:firstLine="708"/>
        <w:jc w:val="both"/>
        <w:rPr>
          <w:rFonts w:cs="Calibri"/>
        </w:rPr>
      </w:pPr>
      <w:r w:rsidRPr="00E74967">
        <w:rPr>
          <w:rFonts w:cs="Calibri"/>
        </w:rPr>
        <w:t>*Anexar organigrama de la entidad.</w:t>
      </w: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0080C658"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w:t>
      </w:r>
      <w:r w:rsidR="00396D53" w:rsidRPr="00396D53">
        <w:rPr>
          <w:rFonts w:cs="Calibri"/>
        </w:rPr>
        <w:t>Fideicomisos de los cuales es fideicomitente o fideicomisario, y contratos análogos, incluyendo mandatos de los cuales es parte.</w:t>
      </w:r>
    </w:p>
    <w:p w14:paraId="723070B8" w14:textId="77777777" w:rsidR="00480BF4" w:rsidRDefault="00480BF4" w:rsidP="00480BF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cs="Calibri"/>
        </w:rPr>
        <w:t>.</w:t>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61B6566F" w:rsidR="007D1E76" w:rsidRPr="000C3365" w:rsidRDefault="006F77A8" w:rsidP="000C3365">
      <w:pPr>
        <w:pStyle w:val="Ttulo2"/>
        <w:rPr>
          <w:rFonts w:asciiTheme="minorHAnsi" w:hAnsiTheme="minorHAnsi" w:cstheme="minorHAnsi"/>
          <w:b/>
          <w:color w:val="auto"/>
          <w:sz w:val="22"/>
        </w:rPr>
      </w:pPr>
      <w:bookmarkStart w:id="4" w:name="_Toc161472869"/>
      <w:r>
        <w:rPr>
          <w:rFonts w:asciiTheme="minorHAnsi" w:hAnsiTheme="minorHAnsi" w:cstheme="minorHAnsi"/>
          <w:b/>
          <w:color w:val="auto"/>
          <w:sz w:val="22"/>
        </w:rPr>
        <w:t>4</w:t>
      </w:r>
      <w:r w:rsidR="007D1E76" w:rsidRPr="000C3365">
        <w:rPr>
          <w:rFonts w:asciiTheme="minorHAnsi" w:hAnsiTheme="minorHAnsi" w:cstheme="minorHAnsi"/>
          <w:b/>
          <w:color w:val="auto"/>
          <w:sz w:val="22"/>
        </w:rPr>
        <w:t>.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58B00679" w14:textId="318FF529" w:rsidR="007D1E76" w:rsidRDefault="00BE1AB6" w:rsidP="00CB41C4">
      <w:pPr>
        <w:tabs>
          <w:tab w:val="left" w:leader="underscore" w:pos="9639"/>
        </w:tabs>
        <w:spacing w:after="0" w:line="240" w:lineRule="auto"/>
        <w:jc w:val="both"/>
        <w:rPr>
          <w:rFonts w:cs="Calibri"/>
        </w:rPr>
      </w:pPr>
      <w:r w:rsidRPr="00BE1AB6">
        <w:rPr>
          <w:rFonts w:cs="Calibri"/>
        </w:rPr>
        <w:t>Si se ha observado la normatividad de la CONAC, así como las disposiciones legales</w:t>
      </w:r>
      <w:r>
        <w:rPr>
          <w:rFonts w:cs="Calibri"/>
        </w:rPr>
        <w:t xml:space="preserve">. </w:t>
      </w:r>
    </w:p>
    <w:p w14:paraId="18B95164" w14:textId="77777777" w:rsidR="00534E69" w:rsidRPr="00E74967" w:rsidRDefault="00534E69"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84B4DD1"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A6346D" w:rsidRPr="00A6346D">
        <w:rPr>
          <w:rFonts w:cs="Calibri"/>
        </w:rPr>
        <w:t>Postulados básicos de Contabilidad Gubernamental (PBCG)</w:t>
      </w:r>
      <w:r w:rsidRPr="00E74967">
        <w:rPr>
          <w:rFonts w:cs="Calibri"/>
        </w:rPr>
        <w:t>.</w:t>
      </w:r>
    </w:p>
    <w:p w14:paraId="1CC2D59E" w14:textId="691DA018" w:rsidR="007D1E76" w:rsidRDefault="000A4E40" w:rsidP="00CB41C4">
      <w:pPr>
        <w:tabs>
          <w:tab w:val="left" w:leader="underscore" w:pos="9639"/>
        </w:tabs>
        <w:spacing w:after="0" w:line="240" w:lineRule="auto"/>
        <w:jc w:val="both"/>
        <w:rPr>
          <w:rFonts w:cs="Calibri"/>
        </w:rPr>
      </w:pPr>
      <w:r>
        <w:rPr>
          <w:rFonts w:cs="Calibri"/>
        </w:rPr>
        <w:t>P</w:t>
      </w:r>
      <w:r w:rsidR="00534E69" w:rsidRPr="00534E69">
        <w:rPr>
          <w:rFonts w:cs="Calibri"/>
        </w:rPr>
        <w:t>ostulados básicos de la contabilidad gubernamental (CONAC)</w:t>
      </w:r>
    </w:p>
    <w:p w14:paraId="2CCB895A" w14:textId="77777777" w:rsidR="00534E69" w:rsidRPr="00E74967" w:rsidRDefault="00534E69" w:rsidP="00CB41C4">
      <w:pPr>
        <w:tabs>
          <w:tab w:val="left" w:leader="underscore" w:pos="9639"/>
        </w:tabs>
        <w:spacing w:after="0" w:line="240" w:lineRule="auto"/>
        <w:jc w:val="both"/>
        <w:rPr>
          <w:rFonts w:cs="Calibri"/>
        </w:rPr>
      </w:pPr>
    </w:p>
    <w:p w14:paraId="1F07AA1B" w14:textId="501B9E96" w:rsidR="00534E69" w:rsidRPr="00534E69" w:rsidRDefault="007D1E76" w:rsidP="00534E69">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w:t>
      </w:r>
      <w:r w:rsidR="0043078C" w:rsidRPr="0043078C">
        <w:rPr>
          <w:rFonts w:cs="Calibri"/>
        </w:rPr>
        <w:t>Marco Conceptual de Contabilidad Gubernamental (MCCG) y sus modificaciones.</w:t>
      </w:r>
    </w:p>
    <w:p w14:paraId="04C8E137" w14:textId="5865403E" w:rsidR="00534E69" w:rsidRDefault="00BE1AB6" w:rsidP="00CB41C4">
      <w:pPr>
        <w:tabs>
          <w:tab w:val="left" w:leader="underscore" w:pos="9639"/>
        </w:tabs>
        <w:spacing w:after="0" w:line="240" w:lineRule="auto"/>
        <w:jc w:val="both"/>
        <w:rPr>
          <w:rFonts w:cs="Calibri"/>
        </w:rPr>
      </w:pPr>
      <w:r w:rsidRPr="00BE1AB6">
        <w:rPr>
          <w:rFonts w:cs="Calibri"/>
        </w:rPr>
        <w:t>Nada que manifestar del periodo.</w:t>
      </w:r>
    </w:p>
    <w:p w14:paraId="3F5E78BE" w14:textId="77777777" w:rsidR="00BE1AB6" w:rsidRPr="00E74967" w:rsidRDefault="00BE1AB6" w:rsidP="00CB41C4">
      <w:pPr>
        <w:tabs>
          <w:tab w:val="left" w:leader="underscore" w:pos="9639"/>
        </w:tabs>
        <w:spacing w:after="0" w:line="240" w:lineRule="auto"/>
        <w:jc w:val="both"/>
        <w:rPr>
          <w:rFonts w:cs="Calibri"/>
        </w:rPr>
      </w:pPr>
    </w:p>
    <w:p w14:paraId="084AD24A" w14:textId="4A679E5F"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w:t>
      </w:r>
      <w:r w:rsidR="0086420E">
        <w:rPr>
          <w:rFonts w:cs="Calibri"/>
        </w:rPr>
        <w:t xml:space="preserve">de </w:t>
      </w:r>
      <w:r w:rsidRPr="00E74967">
        <w:rPr>
          <w:rFonts w:cs="Calibri"/>
        </w:rPr>
        <w:t>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6A6575B"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r w:rsidR="00BE1AB6">
        <w:rPr>
          <w:rFonts w:cs="Calibri"/>
        </w:rPr>
        <w:t xml:space="preserve"> No aplica</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56ABF444"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r w:rsidR="00BE1AB6">
        <w:rPr>
          <w:rFonts w:cs="Calibri"/>
        </w:rPr>
        <w:t xml:space="preserve">  no aplica</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163458F4" w:rsidR="007D1E76" w:rsidRPr="00E74967" w:rsidRDefault="007D1E76" w:rsidP="00CB41C4">
      <w:pPr>
        <w:tabs>
          <w:tab w:val="left" w:leader="underscore" w:pos="9639"/>
        </w:tabs>
        <w:spacing w:after="0" w:line="240" w:lineRule="auto"/>
        <w:jc w:val="both"/>
        <w:rPr>
          <w:rFonts w:cs="Calibri"/>
        </w:rPr>
      </w:pPr>
      <w:r w:rsidRPr="00E74967">
        <w:rPr>
          <w:rFonts w:cs="Calibri"/>
        </w:rPr>
        <w:lastRenderedPageBreak/>
        <w:t>*Revelar los cambios en las políticas, la clasificación y medición de las mismas, así como su impacto en la información financiera:</w:t>
      </w:r>
      <w:r w:rsidR="00BE1AB6">
        <w:rPr>
          <w:rFonts w:cs="Calibri"/>
        </w:rPr>
        <w:t xml:space="preserve">  no aplica</w:t>
      </w:r>
    </w:p>
    <w:p w14:paraId="57326D16" w14:textId="77777777" w:rsidR="006F0687" w:rsidRDefault="006F0687" w:rsidP="006F0687">
      <w:pPr>
        <w:tabs>
          <w:tab w:val="left" w:leader="underscore" w:pos="9639"/>
        </w:tabs>
        <w:spacing w:after="0" w:line="240" w:lineRule="auto"/>
        <w:jc w:val="both"/>
        <w:rPr>
          <w:rFonts w:cs="Calibri"/>
        </w:rPr>
      </w:pPr>
    </w:p>
    <w:p w14:paraId="71521D40" w14:textId="51D5C508" w:rsidR="006F0687" w:rsidRPr="00E74967" w:rsidRDefault="006F0687" w:rsidP="006F0687">
      <w:pPr>
        <w:tabs>
          <w:tab w:val="left" w:leader="underscore" w:pos="9639"/>
        </w:tabs>
        <w:spacing w:after="0" w:line="240" w:lineRule="auto"/>
        <w:jc w:val="both"/>
        <w:rPr>
          <w:rFonts w:cs="Calibri"/>
        </w:rPr>
      </w:pPr>
      <w:r w:rsidRPr="00E74967">
        <w:rPr>
          <w:rFonts w:cs="Calibri"/>
        </w:rPr>
        <w:t>*</w:t>
      </w:r>
      <w:r w:rsidR="00D546B2" w:rsidRPr="00D546B2">
        <w:rPr>
          <w:rFonts w:cs="Calibri"/>
        </w:rPr>
        <w:t>Presentar los últimos estados financieros con la normatividad anteriormente utilizada con las nuevas políticas para fines de comparación en la transición a la base de devengado.</w:t>
      </w:r>
      <w:r w:rsidR="00BE1AB6">
        <w:rPr>
          <w:rFonts w:cs="Calibri"/>
        </w:rPr>
        <w:t xml:space="preserve">    No aplica</w:t>
      </w:r>
    </w:p>
    <w:p w14:paraId="158EC49E" w14:textId="77777777" w:rsidR="007D1E76" w:rsidRPr="00E74967" w:rsidRDefault="007D1E76" w:rsidP="00CB41C4">
      <w:pPr>
        <w:tabs>
          <w:tab w:val="left" w:leader="underscore" w:pos="9639"/>
        </w:tabs>
        <w:spacing w:after="0" w:line="240" w:lineRule="auto"/>
        <w:jc w:val="both"/>
        <w:rPr>
          <w:rFonts w:cs="Calibri"/>
        </w:rPr>
      </w:pP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4C87F38F" w:rsidR="007D1E76" w:rsidRPr="00E74967" w:rsidRDefault="007F699D" w:rsidP="000C3365">
      <w:pPr>
        <w:pStyle w:val="Ttulo2"/>
        <w:rPr>
          <w:rFonts w:cs="Calibri"/>
          <w:b/>
        </w:rPr>
      </w:pPr>
      <w:bookmarkStart w:id="5" w:name="_Toc161472870"/>
      <w:r>
        <w:rPr>
          <w:rFonts w:asciiTheme="minorHAnsi" w:hAnsiTheme="minorHAnsi" w:cstheme="minorHAnsi"/>
          <w:b/>
          <w:color w:val="auto"/>
          <w:sz w:val="22"/>
        </w:rPr>
        <w:t>5</w:t>
      </w:r>
      <w:r w:rsidR="007D1E76" w:rsidRPr="000C3365">
        <w:rPr>
          <w:rFonts w:asciiTheme="minorHAnsi" w:hAnsiTheme="minorHAnsi" w:cstheme="minorHAnsi"/>
          <w:b/>
          <w:color w:val="auto"/>
          <w:sz w:val="22"/>
        </w:rPr>
        <w:t>. Políticas de</w:t>
      </w:r>
      <w:r w:rsidR="00E00323" w:rsidRPr="000C3365">
        <w:rPr>
          <w:rFonts w:asciiTheme="minorHAnsi" w:hAnsiTheme="minorHAnsi" w:cstheme="minorHAnsi"/>
          <w:b/>
          <w:color w:val="auto"/>
          <w:sz w:val="22"/>
        </w:rPr>
        <w:t xml:space="preserve"> Contabilidad Significativas:</w:t>
      </w:r>
      <w:bookmarkEnd w:id="5"/>
    </w:p>
    <w:p w14:paraId="685C2AC3" w14:textId="77777777" w:rsidR="00AF4375" w:rsidRPr="00AF4375" w:rsidRDefault="00AF4375" w:rsidP="00AF4375">
      <w:pPr>
        <w:tabs>
          <w:tab w:val="left" w:leader="underscore" w:pos="9639"/>
        </w:tabs>
        <w:spacing w:after="0" w:line="240" w:lineRule="auto"/>
        <w:jc w:val="both"/>
        <w:rPr>
          <w:rFonts w:cs="Calibri"/>
        </w:rPr>
      </w:pPr>
      <w:r w:rsidRPr="00AF4375">
        <w:rPr>
          <w:rFonts w:cs="Calibri"/>
        </w:rPr>
        <w:t xml:space="preserve">Son los principios, bases, reglas y procedimientos específicos adoptados por el ente público en la elaboración y presentación de sus estados financieros. </w:t>
      </w:r>
    </w:p>
    <w:p w14:paraId="793D8065" w14:textId="32E17174" w:rsidR="007D1E76" w:rsidRPr="00E74967" w:rsidRDefault="00AF4375" w:rsidP="00AF4375">
      <w:pPr>
        <w:tabs>
          <w:tab w:val="left" w:leader="underscore" w:pos="9639"/>
        </w:tabs>
        <w:spacing w:after="0" w:line="240" w:lineRule="auto"/>
        <w:jc w:val="both"/>
        <w:rPr>
          <w:rFonts w:cs="Calibri"/>
        </w:rPr>
      </w:pPr>
      <w:r w:rsidRPr="00AF4375">
        <w:rPr>
          <w:rFonts w:cs="Calibri"/>
        </w:rPr>
        <w:t>El ente público seleccionará y aplicará sus políticas contables de manera congruente para transacciones, otros eventos y condiciones que sean similares.</w:t>
      </w: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088E4F59"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FC1AE8" w:rsidRPr="00FC1AE8">
        <w:rPr>
          <w:rFonts w:cs="Calibri"/>
        </w:rPr>
        <w:t>Actualización: se informará del método utilizado para la actualización del valor de los activos, pasivos y Hacienda Pública/Patrimonio y las razones de dicha elección. Así como informar de la desconexión o reconexión inflacionaria</w:t>
      </w:r>
      <w:r w:rsidRPr="00E74967">
        <w:rPr>
          <w:rFonts w:cs="Calibri"/>
        </w:rPr>
        <w:t>:</w:t>
      </w:r>
    </w:p>
    <w:p w14:paraId="004A4D32" w14:textId="2A6C7482"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 la información se presenta sin re expresión financiera.</w:t>
      </w:r>
    </w:p>
    <w:p w14:paraId="1DBE5CBF" w14:textId="77777777" w:rsidR="00F005CD" w:rsidRPr="00E74967" w:rsidRDefault="00F005CD" w:rsidP="00CB41C4">
      <w:pPr>
        <w:tabs>
          <w:tab w:val="left" w:leader="underscore" w:pos="9639"/>
        </w:tabs>
        <w:spacing w:after="0" w:line="240" w:lineRule="auto"/>
        <w:jc w:val="both"/>
        <w:rPr>
          <w:rFonts w:cs="Calibri"/>
        </w:rPr>
      </w:pPr>
    </w:p>
    <w:p w14:paraId="3D8017C2" w14:textId="13DA86E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1C710C" w:rsidRPr="001C710C">
        <w:rPr>
          <w:rFonts w:cs="Calibri"/>
        </w:rPr>
        <w:t>Informar sobre la realización de operaciones en el extranjero y de sus efectos en la información financiera gubernamental, considerando entre otros el importe de las variaciones cambiarias reconocidas en el resultado (ahorro o desahorro)</w:t>
      </w:r>
      <w:r w:rsidRPr="00E74967">
        <w:rPr>
          <w:rFonts w:cs="Calibri"/>
        </w:rPr>
        <w:t>:</w:t>
      </w:r>
    </w:p>
    <w:p w14:paraId="35FCED94" w14:textId="4C60AC23"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 no se han realizado operaciones en el extranjero</w:t>
      </w:r>
    </w:p>
    <w:p w14:paraId="33B887D1" w14:textId="77777777" w:rsidR="00F005CD" w:rsidRPr="00E74967" w:rsidRDefault="00F005CD" w:rsidP="00CB41C4">
      <w:pPr>
        <w:tabs>
          <w:tab w:val="left" w:leader="underscore" w:pos="9639"/>
        </w:tabs>
        <w:spacing w:after="0" w:line="240" w:lineRule="auto"/>
        <w:jc w:val="both"/>
        <w:rPr>
          <w:rFonts w:cs="Calibri"/>
        </w:rPr>
      </w:pPr>
    </w:p>
    <w:p w14:paraId="433324F3" w14:textId="626DBDA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w:t>
      </w:r>
      <w:r w:rsidR="00E9132F" w:rsidRPr="00E9132F">
        <w:rPr>
          <w:rFonts w:cs="Calibri"/>
        </w:rPr>
        <w:t>Método de valuación de la inversión en acciones de Compañías subsidiarias no consolidadas y asociadas</w:t>
      </w:r>
      <w:r w:rsidRPr="00E74967">
        <w:rPr>
          <w:rFonts w:cs="Calibri"/>
        </w:rPr>
        <w:t>:</w:t>
      </w:r>
    </w:p>
    <w:p w14:paraId="2EA4933C" w14:textId="09089125"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 ya que no se tienen inversiones en acciones de compañías subsidiarias no consolidadas y asociadas.</w:t>
      </w:r>
    </w:p>
    <w:p w14:paraId="28B4F5BC" w14:textId="77777777" w:rsidR="00F005CD" w:rsidRPr="00E74967" w:rsidRDefault="00F005CD"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0B282127" w14:textId="3A5E9092"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w:t>
      </w:r>
    </w:p>
    <w:p w14:paraId="0622ABE5" w14:textId="77777777" w:rsidR="00F005CD" w:rsidRPr="00E74967" w:rsidRDefault="00F005CD"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0DAC6C1F" w14:textId="77777777" w:rsidR="00BE1AB6" w:rsidRPr="00E74967" w:rsidRDefault="00BE1AB6" w:rsidP="00BE1AB6">
      <w:pPr>
        <w:tabs>
          <w:tab w:val="left" w:leader="underscore" w:pos="9639"/>
        </w:tabs>
        <w:spacing w:after="0" w:line="240" w:lineRule="auto"/>
        <w:jc w:val="both"/>
        <w:rPr>
          <w:rFonts w:cs="Calibri"/>
        </w:rPr>
      </w:pPr>
      <w:r>
        <w:rPr>
          <w:rFonts w:cs="Calibri"/>
        </w:rPr>
        <w:t>No aplica</w:t>
      </w:r>
    </w:p>
    <w:p w14:paraId="6636D845" w14:textId="77777777" w:rsidR="007D1E76" w:rsidRPr="00E74967" w:rsidRDefault="007D1E76" w:rsidP="00CB41C4">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71A899D"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w:t>
      </w:r>
    </w:p>
    <w:p w14:paraId="201E02CF" w14:textId="77777777" w:rsidR="00F005CD" w:rsidRPr="00E74967" w:rsidRDefault="00F005CD" w:rsidP="00CB41C4">
      <w:pPr>
        <w:tabs>
          <w:tab w:val="left" w:leader="underscore" w:pos="9639"/>
        </w:tabs>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48187B92" w14:textId="0E588561"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 ya que no tiene cuenta de Reservas.</w:t>
      </w:r>
    </w:p>
    <w:p w14:paraId="750194D4" w14:textId="77777777" w:rsidR="00F005CD" w:rsidRPr="00E74967" w:rsidRDefault="00F005CD"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B6668A3" w14:textId="57F06844" w:rsidR="007D1E76" w:rsidRPr="00E74967" w:rsidRDefault="00F005CD" w:rsidP="00CB41C4">
      <w:pPr>
        <w:tabs>
          <w:tab w:val="left" w:leader="underscore" w:pos="9639"/>
        </w:tabs>
        <w:spacing w:after="0" w:line="240" w:lineRule="auto"/>
        <w:jc w:val="both"/>
        <w:rPr>
          <w:rFonts w:cs="Calibri"/>
        </w:rPr>
      </w:pPr>
      <w:r w:rsidRPr="00F005CD">
        <w:rPr>
          <w:rFonts w:cs="Calibri"/>
        </w:rPr>
        <w:t>“Esta nota no le aplica al ente público”, ya que no existen cambios en políticas contables.</w:t>
      </w:r>
    </w:p>
    <w:p w14:paraId="29FF9763" w14:textId="77777777" w:rsidR="000A4E40" w:rsidRDefault="000A4E40" w:rsidP="00CB41C4">
      <w:pPr>
        <w:tabs>
          <w:tab w:val="left" w:leader="underscore" w:pos="9639"/>
        </w:tabs>
        <w:spacing w:after="0" w:line="240" w:lineRule="auto"/>
        <w:jc w:val="both"/>
        <w:rPr>
          <w:rFonts w:cs="Calibri"/>
          <w:b/>
        </w:rPr>
      </w:pPr>
    </w:p>
    <w:p w14:paraId="12C8FA9A" w14:textId="30939D20"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i)</w:t>
      </w:r>
      <w:r w:rsidRPr="00E74967">
        <w:rPr>
          <w:rFonts w:cs="Calibri"/>
        </w:rPr>
        <w:t xml:space="preserve"> Reclasificaciones: Se deben revelar todos aquellos movimientos entre cuentas por efectos de cambios en los tipos de operaciones:</w:t>
      </w:r>
    </w:p>
    <w:p w14:paraId="6E29C8B6" w14:textId="681A3176" w:rsidR="007D1E76" w:rsidRDefault="00F005CD" w:rsidP="00CB41C4">
      <w:pPr>
        <w:tabs>
          <w:tab w:val="left" w:leader="underscore" w:pos="9639"/>
        </w:tabs>
        <w:spacing w:after="0" w:line="240" w:lineRule="auto"/>
        <w:jc w:val="both"/>
        <w:rPr>
          <w:rFonts w:cs="Calibri"/>
        </w:rPr>
      </w:pPr>
      <w:r w:rsidRPr="00F005CD">
        <w:rPr>
          <w:rFonts w:cs="Calibri"/>
        </w:rPr>
        <w:t>“Esta nota no le aplica al ente público en el periodo reportado”.</w:t>
      </w:r>
    </w:p>
    <w:p w14:paraId="4FE871BB" w14:textId="77777777" w:rsidR="00F005CD" w:rsidRPr="00E74967" w:rsidRDefault="00F005CD"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30702C19" w14:textId="77777777" w:rsidR="00F005CD" w:rsidRDefault="00F005CD" w:rsidP="00F005CD">
      <w:pPr>
        <w:tabs>
          <w:tab w:val="left" w:leader="underscore" w:pos="9639"/>
        </w:tabs>
        <w:spacing w:after="0" w:line="240" w:lineRule="auto"/>
        <w:jc w:val="both"/>
        <w:rPr>
          <w:rFonts w:cs="Calibri"/>
        </w:rPr>
      </w:pPr>
      <w:r w:rsidRPr="00F005CD">
        <w:rPr>
          <w:rFonts w:cs="Calibri"/>
        </w:rPr>
        <w:t>“Esta nota no le aplica al ente público en el periodo reportado”.</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16AB8AA7" w:rsidR="007D1E76" w:rsidRPr="000C3365" w:rsidRDefault="003E6C64" w:rsidP="000C3365">
      <w:pPr>
        <w:pStyle w:val="Ttulo2"/>
        <w:rPr>
          <w:rFonts w:asciiTheme="minorHAnsi" w:hAnsiTheme="minorHAnsi" w:cstheme="minorHAnsi"/>
          <w:b/>
          <w:color w:val="auto"/>
          <w:sz w:val="22"/>
        </w:rPr>
      </w:pPr>
      <w:bookmarkStart w:id="6" w:name="_Toc161472871"/>
      <w:r>
        <w:rPr>
          <w:rFonts w:asciiTheme="minorHAnsi" w:hAnsiTheme="minorHAnsi" w:cstheme="minorHAnsi"/>
          <w:b/>
          <w:color w:val="auto"/>
          <w:sz w:val="22"/>
        </w:rPr>
        <w:t>6</w:t>
      </w:r>
      <w:r w:rsidR="007D1E76" w:rsidRPr="000C3365">
        <w:rPr>
          <w:rFonts w:asciiTheme="minorHAnsi" w:hAnsiTheme="minorHAnsi" w:cstheme="minorHAnsi"/>
          <w:b/>
          <w:color w:val="auto"/>
          <w:sz w:val="22"/>
        </w:rPr>
        <w:t>.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43F08C55" w14:textId="451263A0" w:rsidR="007D1E76" w:rsidRDefault="00F21B7A" w:rsidP="00CB41C4">
      <w:pPr>
        <w:tabs>
          <w:tab w:val="left" w:leader="underscore" w:pos="9639"/>
        </w:tabs>
        <w:spacing w:after="0" w:line="240" w:lineRule="auto"/>
        <w:jc w:val="both"/>
        <w:rPr>
          <w:rFonts w:cs="Calibri"/>
        </w:rPr>
      </w:pPr>
      <w:r w:rsidRPr="00F21B7A">
        <w:rPr>
          <w:rFonts w:cs="Calibri"/>
        </w:rPr>
        <w:t>“Esta nota no le aplica al ente público”, toda vez de que no se tienen activos en moneda extranjera.</w:t>
      </w:r>
    </w:p>
    <w:p w14:paraId="6D84DD3E" w14:textId="77777777" w:rsidR="00F21B7A" w:rsidRPr="00E74967" w:rsidRDefault="00F21B7A" w:rsidP="00CB41C4">
      <w:pPr>
        <w:tabs>
          <w:tab w:val="left" w:leader="underscore" w:pos="9639"/>
        </w:tabs>
        <w:spacing w:after="0" w:line="240" w:lineRule="auto"/>
        <w:jc w:val="both"/>
        <w:rPr>
          <w:rFonts w:cs="Calibri"/>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7967B02E" w:rsidR="007D1E76" w:rsidRDefault="00F21B7A" w:rsidP="00CB41C4">
      <w:pPr>
        <w:tabs>
          <w:tab w:val="left" w:leader="underscore" w:pos="9639"/>
        </w:tabs>
        <w:spacing w:after="0" w:line="240" w:lineRule="auto"/>
        <w:jc w:val="both"/>
        <w:rPr>
          <w:rFonts w:cs="Calibri"/>
        </w:rPr>
      </w:pPr>
      <w:r w:rsidRPr="00F21B7A">
        <w:rPr>
          <w:rFonts w:cs="Calibri"/>
        </w:rPr>
        <w:t>“Esta nota no le aplica al ente público”, toda vez de que no se tienen pasivos en moneda extranjera.</w:t>
      </w:r>
    </w:p>
    <w:p w14:paraId="19DEDF12" w14:textId="77777777" w:rsidR="00F21B7A" w:rsidRPr="00E74967" w:rsidRDefault="00F21B7A"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273CC39D" w14:textId="303EBE9E" w:rsidR="007D1E76" w:rsidRDefault="00F21B7A" w:rsidP="00CB41C4">
      <w:pPr>
        <w:tabs>
          <w:tab w:val="left" w:leader="underscore" w:pos="9639"/>
        </w:tabs>
        <w:spacing w:after="0" w:line="240" w:lineRule="auto"/>
        <w:jc w:val="both"/>
        <w:rPr>
          <w:rFonts w:cs="Calibri"/>
        </w:rPr>
      </w:pPr>
      <w:r w:rsidRPr="00F21B7A">
        <w:rPr>
          <w:rFonts w:cs="Calibri"/>
        </w:rPr>
        <w:t>“Esta nota no le aplica al ente público”</w:t>
      </w:r>
    </w:p>
    <w:p w14:paraId="72237662" w14:textId="77777777" w:rsidR="00F21B7A" w:rsidRPr="00E74967" w:rsidRDefault="00F21B7A"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79F1B198" w14:textId="0CDA9E52" w:rsidR="00442B98" w:rsidRPr="00E74967" w:rsidRDefault="00EF1B77" w:rsidP="00442B98">
      <w:pPr>
        <w:tabs>
          <w:tab w:val="left" w:leader="underscore" w:pos="9639"/>
        </w:tabs>
        <w:spacing w:after="0" w:line="240" w:lineRule="auto"/>
        <w:jc w:val="both"/>
        <w:rPr>
          <w:rFonts w:cs="Calibri"/>
        </w:rPr>
      </w:pPr>
      <w:r w:rsidRPr="00EF1B77">
        <w:rPr>
          <w:rFonts w:cs="Calibri"/>
        </w:rPr>
        <w:t>El aplicable el día de la operación.</w:t>
      </w:r>
    </w:p>
    <w:p w14:paraId="146CAEC1" w14:textId="7777777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3BA699C" w14:textId="13A64B77" w:rsidR="007D1E76" w:rsidRDefault="00F21B7A" w:rsidP="00CB41C4">
      <w:pPr>
        <w:tabs>
          <w:tab w:val="left" w:leader="underscore" w:pos="9639"/>
        </w:tabs>
        <w:spacing w:after="0" w:line="240" w:lineRule="auto"/>
        <w:jc w:val="both"/>
        <w:rPr>
          <w:rFonts w:cs="Calibri"/>
        </w:rPr>
      </w:pPr>
      <w:r w:rsidRPr="00EF1B77">
        <w:rPr>
          <w:rFonts w:cs="Calibri"/>
        </w:rPr>
        <w:t>El aplicable el día de la operación</w:t>
      </w:r>
      <w:r>
        <w:rPr>
          <w:rFonts w:cs="Calibri"/>
        </w:rPr>
        <w:t xml:space="preserve">. </w:t>
      </w:r>
    </w:p>
    <w:p w14:paraId="6DA9D3C4" w14:textId="77777777" w:rsidR="00F21B7A" w:rsidRPr="00E74967" w:rsidRDefault="00F21B7A"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4A4A65C9"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w:t>
      </w:r>
      <w:r w:rsidR="00D32331">
        <w:rPr>
          <w:rFonts w:cs="Calibri"/>
        </w:rPr>
        <w:t>,</w:t>
      </w:r>
      <w:r w:rsidRPr="00E74967">
        <w:rPr>
          <w:rFonts w:cs="Calibri"/>
        </w:rPr>
        <w:t xml:space="preserv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5928022" w:rsidR="007D1E76" w:rsidRPr="000C3365" w:rsidRDefault="0064059E" w:rsidP="000C3365">
      <w:pPr>
        <w:pStyle w:val="Ttulo2"/>
        <w:rPr>
          <w:rFonts w:asciiTheme="minorHAnsi" w:hAnsiTheme="minorHAnsi" w:cstheme="minorHAnsi"/>
          <w:b/>
          <w:color w:val="auto"/>
          <w:sz w:val="22"/>
        </w:rPr>
      </w:pPr>
      <w:bookmarkStart w:id="7" w:name="_Toc161472872"/>
      <w:r>
        <w:rPr>
          <w:rFonts w:asciiTheme="minorHAnsi" w:hAnsiTheme="minorHAnsi" w:cstheme="minorHAnsi"/>
          <w:b/>
          <w:color w:val="auto"/>
          <w:sz w:val="22"/>
        </w:rPr>
        <w:t>7</w:t>
      </w:r>
      <w:r w:rsidR="007D1E76" w:rsidRPr="000C3365">
        <w:rPr>
          <w:rFonts w:asciiTheme="minorHAnsi" w:hAnsiTheme="minorHAnsi" w:cstheme="minorHAnsi"/>
          <w:b/>
          <w:color w:val="auto"/>
          <w:sz w:val="22"/>
        </w:rPr>
        <w:t xml:space="preserve">.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09BA8E02"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w:t>
      </w:r>
      <w:r w:rsidR="00ED7AA0" w:rsidRPr="00ED7AA0">
        <w:rPr>
          <w:rFonts w:cs="Calibri"/>
        </w:rPr>
        <w:t>Vida útil, porcentajes de depreciación y amortización utilizados en los diferentes tipos de activos, o el importe de las pérdidas por deterioro reconocidas</w:t>
      </w:r>
      <w:r w:rsidRPr="00E74967">
        <w:rPr>
          <w:rFonts w:cs="Calibri"/>
        </w:rPr>
        <w:t>:</w:t>
      </w:r>
    </w:p>
    <w:p w14:paraId="2EDD9CA6" w14:textId="5AAE8C38" w:rsidR="00EF1B77" w:rsidRDefault="00EF1B77" w:rsidP="00CB41C4">
      <w:pPr>
        <w:tabs>
          <w:tab w:val="left" w:leader="underscore" w:pos="9639"/>
        </w:tabs>
        <w:spacing w:after="0" w:line="240" w:lineRule="auto"/>
        <w:jc w:val="both"/>
        <w:rPr>
          <w:rFonts w:cs="Calibri"/>
        </w:rPr>
      </w:pPr>
      <w:r>
        <w:rPr>
          <w:rFonts w:cs="Calibri"/>
        </w:rPr>
        <w:t>Los establecidos por CONAC en sus parámetros de Estimación de Vida Útil.</w:t>
      </w:r>
    </w:p>
    <w:p w14:paraId="2B914A04" w14:textId="52D0C9E1" w:rsidR="007D1E76" w:rsidRPr="00E74967" w:rsidRDefault="00EF1B77" w:rsidP="00CB41C4">
      <w:pPr>
        <w:tabs>
          <w:tab w:val="left" w:leader="underscore" w:pos="9639"/>
        </w:tabs>
        <w:spacing w:after="0" w:line="240" w:lineRule="auto"/>
        <w:jc w:val="both"/>
        <w:rPr>
          <w:rFonts w:cs="Calibri"/>
        </w:rPr>
      </w:pPr>
      <w:r>
        <w:rPr>
          <w:rFonts w:cs="Calibri"/>
        </w:rPr>
        <w:t xml:space="preserve"> </w:t>
      </w:r>
    </w:p>
    <w:p w14:paraId="7FD13FA2" w14:textId="4685F10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w:t>
      </w:r>
      <w:r w:rsidR="00AA2768" w:rsidRPr="00AA2768">
        <w:rPr>
          <w:rFonts w:cs="Calibri"/>
        </w:rPr>
        <w:t>Cambios en el porcentaje de depreciación y amortización y en el valor de los activos ocasionado por deterioro</w:t>
      </w:r>
      <w:r w:rsidRPr="00E74967">
        <w:rPr>
          <w:rFonts w:cs="Calibri"/>
        </w:rPr>
        <w:t>:</w:t>
      </w:r>
    </w:p>
    <w:p w14:paraId="621F94FA" w14:textId="6CB22960" w:rsidR="00EF1B77" w:rsidRDefault="006B71AD" w:rsidP="00CB41C4">
      <w:pPr>
        <w:tabs>
          <w:tab w:val="left" w:leader="underscore" w:pos="9639"/>
        </w:tabs>
        <w:spacing w:after="0" w:line="240" w:lineRule="auto"/>
        <w:jc w:val="both"/>
        <w:rPr>
          <w:rFonts w:cs="Calibri"/>
        </w:rPr>
      </w:pPr>
      <w:r w:rsidRPr="006B71AD">
        <w:rPr>
          <w:rFonts w:cs="Calibri"/>
        </w:rPr>
        <w:t>“Esta nota no le aplica al ente público”, no hubo cambios en los porcentajes de depreciación o valor residual de los activos.</w:t>
      </w:r>
    </w:p>
    <w:p w14:paraId="09EA41DD" w14:textId="77777777" w:rsidR="006B71AD" w:rsidRPr="00E74967" w:rsidRDefault="006B71AD" w:rsidP="00CB41C4">
      <w:pPr>
        <w:tabs>
          <w:tab w:val="left" w:leader="underscore" w:pos="9639"/>
        </w:tabs>
        <w:spacing w:after="0" w:line="240" w:lineRule="auto"/>
        <w:jc w:val="both"/>
        <w:rPr>
          <w:rFonts w:cs="Calibri"/>
        </w:rPr>
      </w:pPr>
    </w:p>
    <w:p w14:paraId="7793D355" w14:textId="6688DE6A" w:rsidR="007D1E76"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389FC7C1" w14:textId="42EAB290" w:rsidR="007D1E76" w:rsidRDefault="006B71AD" w:rsidP="00CB41C4">
      <w:pPr>
        <w:tabs>
          <w:tab w:val="left" w:leader="underscore" w:pos="9639"/>
        </w:tabs>
        <w:spacing w:after="0" w:line="240" w:lineRule="auto"/>
        <w:jc w:val="both"/>
        <w:rPr>
          <w:rFonts w:cs="Calibri"/>
        </w:rPr>
      </w:pPr>
      <w:r w:rsidRPr="006B71AD">
        <w:rPr>
          <w:rFonts w:cs="Calibri"/>
        </w:rPr>
        <w:t>“Esta nota no le aplica al ente público”, ya que no existen gastos capitalizados.</w:t>
      </w:r>
    </w:p>
    <w:p w14:paraId="40D10DE3" w14:textId="77777777" w:rsidR="006B71AD" w:rsidRPr="00E74967" w:rsidRDefault="006B71AD"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40813EC4" w14:textId="768AAA0A" w:rsidR="00EF1B77" w:rsidRPr="00E74967" w:rsidRDefault="006B71AD" w:rsidP="00EF1B77">
      <w:pPr>
        <w:tabs>
          <w:tab w:val="left" w:leader="underscore" w:pos="9639"/>
        </w:tabs>
        <w:spacing w:after="0" w:line="240" w:lineRule="auto"/>
        <w:jc w:val="both"/>
        <w:rPr>
          <w:rFonts w:cs="Calibri"/>
        </w:rPr>
      </w:pPr>
      <w:r w:rsidRPr="006B71AD">
        <w:rPr>
          <w:rFonts w:cs="Calibri"/>
        </w:rPr>
        <w:t>“Esta nota no le aplica al ente público”, la inversión financiera es un instrumento seguro, de acuerdo a la clasificación en que está catalogada.</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583132D3" w14:textId="77777777" w:rsidR="006B71AD" w:rsidRPr="006B71AD" w:rsidRDefault="006B71AD" w:rsidP="006B71AD">
      <w:pPr>
        <w:tabs>
          <w:tab w:val="left" w:leader="underscore" w:pos="9639"/>
        </w:tabs>
        <w:spacing w:after="0" w:line="240" w:lineRule="auto"/>
        <w:jc w:val="both"/>
        <w:rPr>
          <w:rFonts w:cs="Calibri"/>
        </w:rPr>
      </w:pPr>
      <w:r w:rsidRPr="006B71AD">
        <w:rPr>
          <w:rFonts w:cs="Calibri"/>
        </w:rPr>
        <w:t>El valor se aplica con forme al gasto generado de los materiales utilizados en la construcción.</w:t>
      </w:r>
    </w:p>
    <w:p w14:paraId="5FA48868" w14:textId="77777777" w:rsidR="006B71AD" w:rsidRPr="00E74967" w:rsidRDefault="006B71AD"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26DDFE7" w14:textId="1FD417CE" w:rsidR="00EF1B77" w:rsidRPr="00E74967" w:rsidRDefault="006B71AD" w:rsidP="00EF1B77">
      <w:pPr>
        <w:tabs>
          <w:tab w:val="left" w:leader="underscore" w:pos="9639"/>
        </w:tabs>
        <w:spacing w:after="0" w:line="240" w:lineRule="auto"/>
        <w:jc w:val="both"/>
        <w:rPr>
          <w:rFonts w:cs="Calibri"/>
        </w:rPr>
      </w:pPr>
      <w:r w:rsidRPr="006B71AD">
        <w:rPr>
          <w:rFonts w:cs="Calibri"/>
        </w:rPr>
        <w:t>” Esta nota no le aplica al ente público “, no hay circunstancias de carácter significativo que afecten el activo, tales como bienes en garantía, señalados en embargos, litigios, títulos de inversiones entregados en garantías, baja significativa del valor de inversiones financieras, etc.</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6AC9102" w14:textId="5ACE910A" w:rsidR="007D1E76" w:rsidRDefault="00F21B7A" w:rsidP="00CB41C4">
      <w:pPr>
        <w:tabs>
          <w:tab w:val="left" w:leader="underscore" w:pos="9639"/>
        </w:tabs>
        <w:spacing w:after="0" w:line="240" w:lineRule="auto"/>
        <w:jc w:val="both"/>
        <w:rPr>
          <w:rFonts w:cs="Calibri"/>
        </w:rPr>
      </w:pPr>
      <w:r w:rsidRPr="00F21B7A">
        <w:rPr>
          <w:rFonts w:cs="Calibri"/>
        </w:rPr>
        <w:t>“Esta nota no le aplica al ente público”, no hubo desmantelamiento de Activos, procedimientos, implicaciones, efectos contables.</w:t>
      </w:r>
    </w:p>
    <w:p w14:paraId="419F0F77" w14:textId="77777777" w:rsidR="00F21B7A" w:rsidRPr="00E74967" w:rsidRDefault="00F21B7A"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23376542" w14:textId="3FA916BC" w:rsidR="005E231E" w:rsidRDefault="00EF1B77" w:rsidP="00CB41C4">
      <w:pPr>
        <w:tabs>
          <w:tab w:val="left" w:leader="underscore" w:pos="9639"/>
        </w:tabs>
        <w:spacing w:after="0" w:line="240" w:lineRule="auto"/>
        <w:jc w:val="both"/>
        <w:rPr>
          <w:rFonts w:cs="Calibri"/>
        </w:rPr>
      </w:pPr>
      <w:r>
        <w:rPr>
          <w:rFonts w:cs="Calibri"/>
        </w:rPr>
        <w:t>E</w:t>
      </w:r>
      <w:r w:rsidRPr="00EF1B77">
        <w:rPr>
          <w:rFonts w:cs="Calibri"/>
        </w:rPr>
        <w:t>jercer acciones que permitan llevar a cabo una adecuada administración de los recursos (activos)</w:t>
      </w:r>
      <w:r>
        <w:rPr>
          <w:rFonts w:cs="Calibri"/>
        </w:rPr>
        <w:t>,</w:t>
      </w:r>
      <w:r w:rsidRPr="00EF1B77">
        <w:rPr>
          <w:rFonts w:cs="Calibri"/>
        </w:rPr>
        <w:t xml:space="preserve"> complementándolos con la implementación de mecanismos de control, vigilancia y seguimiento de las áreas que integran al organismo, respaldado con l</w:t>
      </w:r>
      <w:r w:rsidR="00F21B7A">
        <w:rPr>
          <w:rFonts w:cs="Calibri"/>
        </w:rPr>
        <w:t xml:space="preserve">as </w:t>
      </w:r>
      <w:proofErr w:type="spellStart"/>
      <w:r w:rsidR="00F21B7A">
        <w:rPr>
          <w:rFonts w:cs="Calibri"/>
        </w:rPr>
        <w:t>gembas</w:t>
      </w:r>
      <w:proofErr w:type="spellEnd"/>
      <w:r w:rsidRPr="00EF1B77">
        <w:rPr>
          <w:rFonts w:cs="Calibri"/>
        </w:rPr>
        <w:t xml:space="preserve"> correspondientes.</w:t>
      </w:r>
    </w:p>
    <w:p w14:paraId="7E6AB1D3" w14:textId="77777777" w:rsidR="00EF1B77" w:rsidRPr="00E74967" w:rsidRDefault="00EF1B77"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47FAE4D3" w14:textId="75BA7904" w:rsidR="007D1E76" w:rsidRDefault="00F21B7A" w:rsidP="00CB41C4">
      <w:pPr>
        <w:tabs>
          <w:tab w:val="left" w:leader="underscore" w:pos="9639"/>
        </w:tabs>
        <w:spacing w:after="0" w:line="240" w:lineRule="auto"/>
        <w:jc w:val="both"/>
        <w:rPr>
          <w:rFonts w:cs="Calibri"/>
        </w:rPr>
      </w:pPr>
      <w:r w:rsidRPr="00F21B7A">
        <w:rPr>
          <w:rFonts w:cs="Calibri"/>
        </w:rPr>
        <w:t>“Esta nota no le aplica al ente público”.</w:t>
      </w:r>
    </w:p>
    <w:p w14:paraId="0DC195C7" w14:textId="77777777" w:rsidR="00F21B7A" w:rsidRPr="00E74967" w:rsidRDefault="00F21B7A" w:rsidP="00CB41C4">
      <w:pPr>
        <w:tabs>
          <w:tab w:val="left" w:leader="underscore" w:pos="9639"/>
        </w:tabs>
        <w:spacing w:after="0" w:line="240" w:lineRule="auto"/>
        <w:jc w:val="both"/>
        <w:rPr>
          <w:rFonts w:cs="Calibri"/>
        </w:rPr>
      </w:pPr>
    </w:p>
    <w:p w14:paraId="7F294F69" w14:textId="7D9621E6"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w:t>
      </w:r>
      <w:r w:rsidR="00B073DE">
        <w:rPr>
          <w:rFonts w:cs="Calibri"/>
        </w:rPr>
        <w:t>D</w:t>
      </w:r>
      <w:r w:rsidRPr="00E74967">
        <w:rPr>
          <w:rFonts w:cs="Calibri"/>
        </w:rPr>
        <w:t>escentralizados de Control Presupuestario Indirecto:</w:t>
      </w:r>
    </w:p>
    <w:p w14:paraId="569BB3F4" w14:textId="77777777" w:rsidR="00F21B7A" w:rsidRPr="00E74967" w:rsidRDefault="00F21B7A" w:rsidP="00F21B7A">
      <w:pPr>
        <w:tabs>
          <w:tab w:val="left" w:leader="underscore" w:pos="9639"/>
        </w:tabs>
        <w:spacing w:after="0" w:line="240" w:lineRule="auto"/>
        <w:jc w:val="both"/>
        <w:rPr>
          <w:rFonts w:cs="Calibri"/>
        </w:rPr>
      </w:pPr>
      <w:r w:rsidRPr="00F21B7A">
        <w:rPr>
          <w:rFonts w:cs="Calibri"/>
        </w:rPr>
        <w:t>“Esta nota no le aplica al ente público”.</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2E538E7A" w14:textId="77777777" w:rsidR="00F21B7A" w:rsidRPr="00E74967" w:rsidRDefault="00F21B7A" w:rsidP="00F21B7A">
      <w:pPr>
        <w:tabs>
          <w:tab w:val="left" w:leader="underscore" w:pos="9639"/>
        </w:tabs>
        <w:spacing w:after="0" w:line="240" w:lineRule="auto"/>
        <w:jc w:val="both"/>
        <w:rPr>
          <w:rFonts w:cs="Calibri"/>
        </w:rPr>
      </w:pPr>
      <w:r w:rsidRPr="00F21B7A">
        <w:rPr>
          <w:rFonts w:cs="Calibri"/>
        </w:rPr>
        <w:t>“Esta nota no le aplica al ente público”.</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68DBB4E" w14:textId="77777777" w:rsidR="00F21B7A" w:rsidRPr="00E74967" w:rsidRDefault="00F21B7A" w:rsidP="00F21B7A">
      <w:pPr>
        <w:tabs>
          <w:tab w:val="left" w:leader="underscore" w:pos="9639"/>
        </w:tabs>
        <w:spacing w:after="0" w:line="240" w:lineRule="auto"/>
        <w:jc w:val="both"/>
        <w:rPr>
          <w:rFonts w:cs="Calibri"/>
        </w:rPr>
      </w:pPr>
      <w:r w:rsidRPr="00F21B7A">
        <w:rPr>
          <w:rFonts w:cs="Calibri"/>
        </w:rPr>
        <w:t>“Esta nota no le aplica al ente público”.</w:t>
      </w:r>
    </w:p>
    <w:p w14:paraId="199F0C37" w14:textId="77777777" w:rsidR="007D1E76" w:rsidRPr="00E74967" w:rsidRDefault="007D1E76" w:rsidP="00CB41C4">
      <w:pPr>
        <w:tabs>
          <w:tab w:val="left" w:leader="underscore" w:pos="9639"/>
        </w:tabs>
        <w:spacing w:after="0" w:line="240" w:lineRule="auto"/>
        <w:jc w:val="both"/>
        <w:rPr>
          <w:rFonts w:cs="Calibri"/>
        </w:rPr>
      </w:pPr>
    </w:p>
    <w:p w14:paraId="05A46BBB" w14:textId="01E8D72B"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w:t>
      </w:r>
      <w:r w:rsidR="006B1ADF">
        <w:rPr>
          <w:rFonts w:cs="Calibri"/>
        </w:rPr>
        <w:t>O</w:t>
      </w:r>
      <w:r w:rsidRPr="00E74967">
        <w:rPr>
          <w:rFonts w:cs="Calibri"/>
        </w:rPr>
        <w:t xml:space="preserve">rganismos </w:t>
      </w:r>
      <w:r w:rsidR="006B1ADF">
        <w:rPr>
          <w:rFonts w:cs="Calibri"/>
        </w:rPr>
        <w:t>D</w:t>
      </w:r>
      <w:r w:rsidRPr="00E74967">
        <w:rPr>
          <w:rFonts w:cs="Calibri"/>
        </w:rPr>
        <w:t xml:space="preserve">escentralizados de control </w:t>
      </w:r>
      <w:r w:rsidR="006B1ADF">
        <w:rPr>
          <w:rFonts w:cs="Calibri"/>
        </w:rPr>
        <w:t>P</w:t>
      </w:r>
      <w:r w:rsidRPr="00E74967">
        <w:rPr>
          <w:rFonts w:cs="Calibri"/>
        </w:rPr>
        <w:t xml:space="preserve">resupuestario </w:t>
      </w:r>
      <w:r w:rsidR="006B1ADF">
        <w:rPr>
          <w:rFonts w:cs="Calibri"/>
        </w:rPr>
        <w:t>D</w:t>
      </w:r>
      <w:r w:rsidRPr="00E74967">
        <w:rPr>
          <w:rFonts w:cs="Calibri"/>
        </w:rPr>
        <w:t>irecto, según corresponda:</w:t>
      </w:r>
    </w:p>
    <w:p w14:paraId="16578923" w14:textId="77777777" w:rsidR="00F21B7A" w:rsidRPr="00E74967" w:rsidRDefault="00F21B7A" w:rsidP="00F21B7A">
      <w:pPr>
        <w:tabs>
          <w:tab w:val="left" w:leader="underscore" w:pos="9639"/>
        </w:tabs>
        <w:spacing w:after="0" w:line="240" w:lineRule="auto"/>
        <w:jc w:val="both"/>
        <w:rPr>
          <w:rFonts w:cs="Calibri"/>
        </w:rPr>
      </w:pPr>
      <w:r w:rsidRPr="00F21B7A">
        <w:rPr>
          <w:rFonts w:cs="Calibri"/>
        </w:rPr>
        <w:t>“Esta nota no le aplica al ente público”.</w:t>
      </w:r>
    </w:p>
    <w:p w14:paraId="2B6EDA91" w14:textId="77777777" w:rsidR="007D1E76" w:rsidRPr="00E74967" w:rsidRDefault="007D1E76" w:rsidP="00CB41C4">
      <w:pPr>
        <w:tabs>
          <w:tab w:val="left" w:leader="underscore" w:pos="9639"/>
        </w:tabs>
        <w:spacing w:after="0" w:line="240" w:lineRule="auto"/>
        <w:jc w:val="both"/>
        <w:rPr>
          <w:rFonts w:cs="Calibri"/>
        </w:rPr>
      </w:pP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6AD73354" w:rsidR="007D1E76" w:rsidRPr="000C3365" w:rsidRDefault="002722DD" w:rsidP="000C3365">
      <w:pPr>
        <w:pStyle w:val="Ttulo2"/>
        <w:rPr>
          <w:rFonts w:asciiTheme="minorHAnsi" w:hAnsiTheme="minorHAnsi" w:cstheme="minorHAnsi"/>
          <w:b/>
          <w:color w:val="auto"/>
          <w:sz w:val="22"/>
        </w:rPr>
      </w:pPr>
      <w:bookmarkStart w:id="8" w:name="_Toc161472873"/>
      <w:r>
        <w:rPr>
          <w:rFonts w:asciiTheme="minorHAnsi" w:hAnsiTheme="minorHAnsi" w:cstheme="minorHAnsi"/>
          <w:b/>
          <w:color w:val="auto"/>
          <w:sz w:val="22"/>
        </w:rPr>
        <w:t>8</w:t>
      </w:r>
      <w:r w:rsidR="007D1E76" w:rsidRPr="000C3365">
        <w:rPr>
          <w:rFonts w:asciiTheme="minorHAnsi" w:hAnsiTheme="minorHAnsi" w:cstheme="minorHAnsi"/>
          <w:b/>
          <w:color w:val="auto"/>
          <w:sz w:val="22"/>
        </w:rPr>
        <w:t>.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2E8C3DB0" w:rsidR="007D1E76" w:rsidRPr="00E74967" w:rsidRDefault="006B71AD" w:rsidP="00CB41C4">
      <w:pPr>
        <w:tabs>
          <w:tab w:val="left" w:leader="underscore" w:pos="9639"/>
        </w:tabs>
        <w:spacing w:after="0" w:line="240" w:lineRule="auto"/>
        <w:jc w:val="both"/>
        <w:rPr>
          <w:rFonts w:cs="Calibri"/>
        </w:rPr>
      </w:pPr>
      <w:r w:rsidRPr="006B71AD">
        <w:rPr>
          <w:rFonts w:cs="Calibri"/>
        </w:rPr>
        <w:t>“Esta nota no le aplica al ente público”,</w:t>
      </w:r>
    </w:p>
    <w:p w14:paraId="6473FCFB" w14:textId="77777777" w:rsidR="000A4E40" w:rsidRDefault="000A4E40" w:rsidP="00CB41C4">
      <w:pPr>
        <w:tabs>
          <w:tab w:val="left" w:leader="underscore" w:pos="9639"/>
        </w:tabs>
        <w:spacing w:after="0" w:line="240" w:lineRule="auto"/>
        <w:jc w:val="both"/>
        <w:rPr>
          <w:rFonts w:cs="Calibri"/>
          <w:b/>
        </w:rPr>
      </w:pPr>
    </w:p>
    <w:p w14:paraId="326C2254" w14:textId="4D5F84BC"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0BBC549" w:rsidR="007D1E76" w:rsidRPr="00E74967" w:rsidRDefault="006B71AD" w:rsidP="00CB41C4">
      <w:pPr>
        <w:tabs>
          <w:tab w:val="left" w:leader="underscore" w:pos="9639"/>
        </w:tabs>
        <w:spacing w:after="0" w:line="240" w:lineRule="auto"/>
        <w:jc w:val="both"/>
        <w:rPr>
          <w:rFonts w:cs="Calibri"/>
        </w:rPr>
      </w:pPr>
      <w:r w:rsidRPr="006B71AD">
        <w:rPr>
          <w:rFonts w:cs="Calibri"/>
        </w:rPr>
        <w:t>“Esta nota no le aplica al ente público”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47BAD216" w:rsidR="007D1E76" w:rsidRPr="000C3365" w:rsidRDefault="002722DD" w:rsidP="000C3365">
      <w:pPr>
        <w:pStyle w:val="Ttulo2"/>
        <w:rPr>
          <w:rFonts w:asciiTheme="minorHAnsi" w:hAnsiTheme="minorHAnsi" w:cstheme="minorHAnsi"/>
          <w:b/>
          <w:color w:val="auto"/>
          <w:sz w:val="22"/>
        </w:rPr>
      </w:pPr>
      <w:bookmarkStart w:id="9" w:name="_Toc161472874"/>
      <w:r>
        <w:rPr>
          <w:rFonts w:asciiTheme="minorHAnsi" w:hAnsiTheme="minorHAnsi" w:cstheme="minorHAnsi"/>
          <w:b/>
          <w:color w:val="auto"/>
          <w:sz w:val="22"/>
        </w:rPr>
        <w:t>9</w:t>
      </w:r>
      <w:r w:rsidR="007D1E76" w:rsidRPr="000C3365">
        <w:rPr>
          <w:rFonts w:asciiTheme="minorHAnsi" w:hAnsiTheme="minorHAnsi" w:cstheme="minorHAnsi"/>
          <w:b/>
          <w:color w:val="auto"/>
          <w:sz w:val="22"/>
        </w:rPr>
        <w:t>.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1F3AC2C1" w14:textId="31A6436B" w:rsidR="006B71AD" w:rsidRPr="00E74967" w:rsidRDefault="006B71AD" w:rsidP="006B71AD">
      <w:pPr>
        <w:tabs>
          <w:tab w:val="left" w:leader="underscore" w:pos="9639"/>
        </w:tabs>
        <w:spacing w:after="0" w:line="240" w:lineRule="auto"/>
        <w:jc w:val="both"/>
        <w:rPr>
          <w:rFonts w:cs="Calibri"/>
        </w:rPr>
      </w:pPr>
      <w:r w:rsidRPr="006B71AD">
        <w:rPr>
          <w:rFonts w:cs="Calibri"/>
        </w:rPr>
        <w:t xml:space="preserve">“Esta nota no le aplica al ente público”, ya que no se cuenta con </w:t>
      </w:r>
      <w:r>
        <w:rPr>
          <w:rFonts w:cs="Calibri"/>
        </w:rPr>
        <w:t>recaudación de impuestos</w:t>
      </w:r>
      <w:r w:rsidRPr="006B71AD">
        <w:rPr>
          <w:rFonts w:cs="Calibri"/>
        </w:rPr>
        <w:t>.</w:t>
      </w:r>
    </w:p>
    <w:p w14:paraId="4FA2E1ED" w14:textId="77777777" w:rsidR="007D1E76" w:rsidRPr="00E74967" w:rsidRDefault="007D1E76" w:rsidP="00CB41C4">
      <w:pPr>
        <w:tabs>
          <w:tab w:val="left" w:leader="underscore" w:pos="9639"/>
        </w:tabs>
        <w:spacing w:after="0" w:line="240" w:lineRule="auto"/>
        <w:jc w:val="both"/>
        <w:rPr>
          <w:rFonts w:cs="Calibri"/>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43C60857" w14:textId="28E7ADA9" w:rsidR="006B71AD" w:rsidRPr="00E74967" w:rsidRDefault="006B71AD" w:rsidP="006B71AD">
      <w:pPr>
        <w:tabs>
          <w:tab w:val="left" w:leader="underscore" w:pos="9639"/>
        </w:tabs>
        <w:spacing w:after="0" w:line="240" w:lineRule="auto"/>
        <w:jc w:val="both"/>
        <w:rPr>
          <w:rFonts w:cs="Calibri"/>
        </w:rPr>
      </w:pPr>
      <w:r w:rsidRPr="006B71AD">
        <w:rPr>
          <w:rFonts w:cs="Calibri"/>
        </w:rPr>
        <w:t xml:space="preserve">“Esta nota no le aplica al ente público”, ya que no se cuenta con </w:t>
      </w:r>
      <w:r>
        <w:rPr>
          <w:rFonts w:cs="Calibri"/>
        </w:rPr>
        <w:t>ingresos recaudados a mediano plazo.</w:t>
      </w:r>
    </w:p>
    <w:p w14:paraId="26FDB1A9" w14:textId="77777777" w:rsidR="00231FBE" w:rsidRPr="00E74967" w:rsidRDefault="00231FBE" w:rsidP="00CB41C4">
      <w:pPr>
        <w:tabs>
          <w:tab w:val="left" w:leader="underscore" w:pos="9639"/>
        </w:tabs>
        <w:spacing w:after="0" w:line="240" w:lineRule="auto"/>
        <w:jc w:val="both"/>
        <w:rPr>
          <w:rFonts w:cs="Calibri"/>
        </w:rPr>
      </w:pPr>
    </w:p>
    <w:p w14:paraId="2D68C3FC" w14:textId="7BAEB103" w:rsidR="007D1E76" w:rsidRPr="000C3365" w:rsidRDefault="007D1E76" w:rsidP="000C3365">
      <w:pPr>
        <w:pStyle w:val="Ttulo2"/>
        <w:rPr>
          <w:rFonts w:asciiTheme="minorHAnsi" w:hAnsiTheme="minorHAnsi" w:cstheme="minorHAnsi"/>
          <w:b/>
          <w:color w:val="auto"/>
          <w:sz w:val="22"/>
        </w:rPr>
      </w:pPr>
      <w:bookmarkStart w:id="10" w:name="_Toc161472875"/>
      <w:r w:rsidRPr="000C3365">
        <w:rPr>
          <w:rFonts w:asciiTheme="minorHAnsi" w:hAnsiTheme="minorHAnsi" w:cstheme="minorHAnsi"/>
          <w:b/>
          <w:color w:val="auto"/>
          <w:sz w:val="22"/>
        </w:rPr>
        <w:t>1</w:t>
      </w:r>
      <w:r w:rsidR="00106EE9">
        <w:rPr>
          <w:rFonts w:asciiTheme="minorHAnsi" w:hAnsiTheme="minorHAnsi" w:cstheme="minorHAnsi"/>
          <w:b/>
          <w:color w:val="auto"/>
          <w:sz w:val="22"/>
        </w:rPr>
        <w:t>0</w:t>
      </w:r>
      <w:r w:rsidRPr="000C3365">
        <w:rPr>
          <w:rFonts w:asciiTheme="minorHAnsi" w:hAnsiTheme="minorHAnsi" w:cstheme="minorHAnsi"/>
          <w:b/>
          <w:color w:val="auto"/>
          <w:sz w:val="22"/>
        </w:rPr>
        <w:t>.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6FE8F616" w:rsidR="007D1E76" w:rsidRPr="00E74967" w:rsidRDefault="006B71AD" w:rsidP="00CB41C4">
      <w:pPr>
        <w:tabs>
          <w:tab w:val="left" w:leader="underscore" w:pos="9639"/>
        </w:tabs>
        <w:spacing w:after="0" w:line="240" w:lineRule="auto"/>
        <w:jc w:val="both"/>
        <w:rPr>
          <w:rFonts w:cs="Calibri"/>
        </w:rPr>
      </w:pPr>
      <w:r w:rsidRPr="006B71AD">
        <w:rPr>
          <w:rFonts w:cs="Calibri"/>
        </w:rPr>
        <w:t>“Esta nota no le aplica al ente público”, ya que no se cuenta con deuda pública.</w:t>
      </w:r>
    </w:p>
    <w:p w14:paraId="02208134" w14:textId="77777777" w:rsidR="000A4E40" w:rsidRDefault="000A4E40" w:rsidP="00CB41C4">
      <w:pPr>
        <w:tabs>
          <w:tab w:val="left" w:leader="underscore" w:pos="9639"/>
        </w:tabs>
        <w:spacing w:after="0" w:line="240" w:lineRule="auto"/>
        <w:jc w:val="both"/>
        <w:rPr>
          <w:rFonts w:cs="Calibri"/>
          <w:b/>
        </w:rPr>
      </w:pPr>
    </w:p>
    <w:p w14:paraId="26034E41" w14:textId="50BD1D79"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5D23D509" w:rsidR="007D1E76" w:rsidRPr="00E74967" w:rsidRDefault="006B71AD" w:rsidP="00CB41C4">
      <w:pPr>
        <w:tabs>
          <w:tab w:val="left" w:leader="underscore" w:pos="9639"/>
        </w:tabs>
        <w:spacing w:after="0" w:line="240" w:lineRule="auto"/>
        <w:jc w:val="both"/>
        <w:rPr>
          <w:rFonts w:cs="Calibri"/>
        </w:rPr>
      </w:pPr>
      <w:r>
        <w:rPr>
          <w:rFonts w:cs="Calibri"/>
        </w:rPr>
        <w:t>“</w:t>
      </w:r>
      <w:r w:rsidRPr="006B71AD">
        <w:rPr>
          <w:rFonts w:cs="Calibri"/>
        </w:rPr>
        <w:t>Esta nota no le aplica al ente público”, ya que no se cuenta con deuda pública.</w:t>
      </w: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E11CC12" w:rsidR="007D1E76" w:rsidRPr="000C3365" w:rsidRDefault="007D1E76" w:rsidP="000C3365">
      <w:pPr>
        <w:pStyle w:val="Ttulo2"/>
        <w:rPr>
          <w:rFonts w:asciiTheme="minorHAnsi" w:hAnsiTheme="minorHAnsi" w:cstheme="minorHAnsi"/>
          <w:b/>
          <w:color w:val="auto"/>
          <w:sz w:val="22"/>
        </w:rPr>
      </w:pPr>
      <w:bookmarkStart w:id="11" w:name="_Toc161472876"/>
      <w:r w:rsidRPr="000C3365">
        <w:rPr>
          <w:rFonts w:asciiTheme="minorHAnsi" w:hAnsiTheme="minorHAnsi" w:cstheme="minorHAnsi"/>
          <w:b/>
          <w:color w:val="auto"/>
          <w:sz w:val="22"/>
        </w:rPr>
        <w:t>1</w:t>
      </w:r>
      <w:r w:rsidR="005F2900">
        <w:rPr>
          <w:rFonts w:asciiTheme="minorHAnsi" w:hAnsiTheme="minorHAnsi" w:cstheme="minorHAnsi"/>
          <w:b/>
          <w:color w:val="auto"/>
          <w:sz w:val="22"/>
        </w:rPr>
        <w:t>1</w:t>
      </w:r>
      <w:r w:rsidRPr="000C3365">
        <w:rPr>
          <w:rFonts w:asciiTheme="minorHAnsi" w:hAnsiTheme="minorHAnsi" w:cstheme="minorHAnsi"/>
          <w:b/>
          <w:color w:val="auto"/>
          <w:sz w:val="22"/>
        </w:rPr>
        <w:t>.</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38C364CF" w:rsidR="007D1E76" w:rsidRPr="00E74967" w:rsidRDefault="006B71AD" w:rsidP="00CB41C4">
      <w:pPr>
        <w:tabs>
          <w:tab w:val="left" w:leader="underscore" w:pos="9639"/>
        </w:tabs>
        <w:spacing w:after="0" w:line="240" w:lineRule="auto"/>
        <w:jc w:val="both"/>
        <w:rPr>
          <w:rFonts w:cs="Calibri"/>
        </w:rPr>
      </w:pPr>
      <w:r w:rsidRPr="006B71AD">
        <w:rPr>
          <w:rFonts w:cs="Calibri"/>
        </w:rPr>
        <w:t>“Esta nota no le aplica al ente público”, toda vez de que no se han solicitado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FFDB478" w:rsidR="007D1E76" w:rsidRPr="000C3365" w:rsidRDefault="007D1E76" w:rsidP="000C3365">
      <w:pPr>
        <w:pStyle w:val="Ttulo2"/>
        <w:rPr>
          <w:rFonts w:asciiTheme="minorHAnsi" w:hAnsiTheme="minorHAnsi" w:cstheme="minorHAnsi"/>
          <w:b/>
          <w:color w:val="auto"/>
          <w:sz w:val="22"/>
        </w:rPr>
      </w:pPr>
      <w:bookmarkStart w:id="12" w:name="_Toc161472877"/>
      <w:r w:rsidRPr="000C3365">
        <w:rPr>
          <w:rFonts w:asciiTheme="minorHAnsi" w:hAnsiTheme="minorHAnsi" w:cstheme="minorHAnsi"/>
          <w:b/>
          <w:color w:val="auto"/>
          <w:sz w:val="22"/>
        </w:rPr>
        <w:t>1</w:t>
      </w:r>
      <w:r w:rsidR="00F6759B">
        <w:rPr>
          <w:rFonts w:asciiTheme="minorHAnsi" w:hAnsiTheme="minorHAnsi" w:cstheme="minorHAnsi"/>
          <w:b/>
          <w:color w:val="auto"/>
          <w:sz w:val="22"/>
        </w:rPr>
        <w:t>2</w:t>
      </w:r>
      <w:r w:rsidRPr="000C3365">
        <w:rPr>
          <w:rFonts w:asciiTheme="minorHAnsi" w:hAnsiTheme="minorHAnsi" w:cstheme="minorHAnsi"/>
          <w:b/>
          <w:color w:val="auto"/>
          <w:sz w:val="22"/>
        </w:rPr>
        <w:t>.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CE7C5E2" w14:textId="77777777" w:rsidR="006B71AD" w:rsidRDefault="006B71AD" w:rsidP="006B71AD">
      <w:pPr>
        <w:tabs>
          <w:tab w:val="left" w:leader="underscore" w:pos="9639"/>
        </w:tabs>
        <w:spacing w:after="0" w:line="240" w:lineRule="auto"/>
        <w:jc w:val="both"/>
        <w:rPr>
          <w:rFonts w:cs="Calibri"/>
        </w:rPr>
      </w:pPr>
      <w:r>
        <w:rPr>
          <w:rFonts w:cs="Calibri"/>
        </w:rPr>
        <w:t>Las contenidas en manual de control interno dentro del área administrativa y operacional.</w:t>
      </w:r>
    </w:p>
    <w:p w14:paraId="1BD51D41" w14:textId="77777777"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10D7948" w14:textId="77777777" w:rsidR="006B71AD" w:rsidRDefault="006B71AD" w:rsidP="006B71AD">
      <w:pPr>
        <w:tabs>
          <w:tab w:val="left" w:leader="underscore" w:pos="9639"/>
        </w:tabs>
        <w:spacing w:after="0" w:line="240" w:lineRule="auto"/>
        <w:jc w:val="both"/>
        <w:rPr>
          <w:rFonts w:cs="Calibri"/>
        </w:rPr>
      </w:pPr>
      <w:r>
        <w:rPr>
          <w:rFonts w:cs="Calibri"/>
        </w:rPr>
        <w:t>Buscar apoyos económicos en otras dependencias (eventos conjuntos). y/o apoyos con particulares.</w:t>
      </w:r>
    </w:p>
    <w:p w14:paraId="6DD757EA" w14:textId="77777777" w:rsidR="007D1E76" w:rsidRPr="00E74967" w:rsidRDefault="007D1E76" w:rsidP="00CB41C4">
      <w:pPr>
        <w:tabs>
          <w:tab w:val="left" w:leader="underscore" w:pos="9639"/>
        </w:tabs>
        <w:spacing w:after="0" w:line="240" w:lineRule="auto"/>
        <w:jc w:val="both"/>
        <w:rPr>
          <w:rFonts w:cs="Calibri"/>
        </w:rPr>
      </w:pP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279F5D07" w:rsidR="007D1E76" w:rsidRPr="000C3365" w:rsidRDefault="007D1E76" w:rsidP="000C3365">
      <w:pPr>
        <w:pStyle w:val="Ttulo2"/>
        <w:rPr>
          <w:rFonts w:asciiTheme="minorHAnsi" w:hAnsiTheme="minorHAnsi" w:cstheme="minorHAnsi"/>
          <w:b/>
          <w:color w:val="auto"/>
          <w:sz w:val="22"/>
        </w:rPr>
      </w:pPr>
      <w:bookmarkStart w:id="13" w:name="_Toc161472878"/>
      <w:r w:rsidRPr="000C3365">
        <w:rPr>
          <w:rFonts w:asciiTheme="minorHAnsi" w:hAnsiTheme="minorHAnsi" w:cstheme="minorHAnsi"/>
          <w:b/>
          <w:color w:val="auto"/>
          <w:sz w:val="22"/>
        </w:rPr>
        <w:lastRenderedPageBreak/>
        <w:t>1</w:t>
      </w:r>
      <w:r w:rsidR="00F6759B">
        <w:rPr>
          <w:rFonts w:asciiTheme="minorHAnsi" w:hAnsiTheme="minorHAnsi" w:cstheme="minorHAnsi"/>
          <w:b/>
          <w:color w:val="auto"/>
          <w:sz w:val="22"/>
        </w:rPr>
        <w:t>3</w:t>
      </w:r>
      <w:r w:rsidR="005E231E" w:rsidRPr="000C3365">
        <w:rPr>
          <w:rFonts w:asciiTheme="minorHAnsi" w:hAnsiTheme="minorHAnsi" w:cstheme="minorHAnsi"/>
          <w:b/>
          <w:color w:val="auto"/>
          <w:sz w:val="22"/>
        </w:rPr>
        <w:t>.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46D52ADD" w:rsidR="007D1E76" w:rsidRPr="00E74967" w:rsidRDefault="00806269" w:rsidP="00CB41C4">
      <w:pPr>
        <w:tabs>
          <w:tab w:val="left" w:leader="underscore" w:pos="9639"/>
        </w:tabs>
        <w:spacing w:after="0" w:line="240" w:lineRule="auto"/>
        <w:jc w:val="both"/>
        <w:rPr>
          <w:rFonts w:cs="Calibri"/>
        </w:rPr>
      </w:pPr>
      <w:r w:rsidRPr="00806269">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r w:rsidR="007D1E76" w:rsidRPr="00E74967">
        <w:rPr>
          <w:rFonts w:cs="Calibri"/>
        </w:rPr>
        <w:t>.</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3BBA9DA3" w:rsidR="007D1E76" w:rsidRPr="00E74967" w:rsidRDefault="006B71AD" w:rsidP="00CB41C4">
      <w:pPr>
        <w:tabs>
          <w:tab w:val="left" w:leader="underscore" w:pos="9639"/>
        </w:tabs>
        <w:spacing w:after="0" w:line="240" w:lineRule="auto"/>
        <w:jc w:val="both"/>
        <w:rPr>
          <w:rFonts w:cs="Calibri"/>
        </w:rPr>
      </w:pPr>
      <w:r w:rsidRPr="006B71AD">
        <w:rPr>
          <w:rFonts w:cs="Calibri"/>
        </w:rPr>
        <w:t>“Esta nota no le aplica al ente público”, ya que no se considera información financiera por segmentos.</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AAD6A4E" w:rsidR="007D1E76" w:rsidRPr="000C3365" w:rsidRDefault="007D1E76" w:rsidP="000C3365">
      <w:pPr>
        <w:pStyle w:val="Ttulo2"/>
        <w:rPr>
          <w:rFonts w:asciiTheme="minorHAnsi" w:hAnsiTheme="minorHAnsi" w:cstheme="minorHAnsi"/>
          <w:b/>
          <w:color w:val="auto"/>
          <w:sz w:val="22"/>
        </w:rPr>
      </w:pPr>
      <w:bookmarkStart w:id="14" w:name="_Toc161472879"/>
      <w:r w:rsidRPr="000C3365">
        <w:rPr>
          <w:rFonts w:asciiTheme="minorHAnsi" w:hAnsiTheme="minorHAnsi" w:cstheme="minorHAnsi"/>
          <w:b/>
          <w:color w:val="auto"/>
          <w:sz w:val="22"/>
        </w:rPr>
        <w:t>1</w:t>
      </w:r>
      <w:r w:rsidR="004A1077">
        <w:rPr>
          <w:rFonts w:asciiTheme="minorHAnsi" w:hAnsiTheme="minorHAnsi" w:cstheme="minorHAnsi"/>
          <w:b/>
          <w:color w:val="auto"/>
          <w:sz w:val="22"/>
        </w:rPr>
        <w:t>4</w:t>
      </w:r>
      <w:r w:rsidRPr="000C3365">
        <w:rPr>
          <w:rFonts w:asciiTheme="minorHAnsi" w:hAnsiTheme="minorHAnsi" w:cstheme="minorHAnsi"/>
          <w:b/>
          <w:color w:val="auto"/>
          <w:sz w:val="22"/>
        </w:rPr>
        <w:t>.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07805C7D" w14:textId="34095DFD" w:rsidR="001C34BC" w:rsidRPr="00E74967" w:rsidRDefault="007D1E76" w:rsidP="001C34BC">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p>
    <w:p w14:paraId="6268D065" w14:textId="7625B4CC" w:rsidR="001C34BC" w:rsidRPr="00E74967" w:rsidRDefault="006B71AD" w:rsidP="001C34BC">
      <w:pPr>
        <w:tabs>
          <w:tab w:val="left" w:leader="underscore" w:pos="9639"/>
        </w:tabs>
        <w:spacing w:after="0" w:line="240" w:lineRule="auto"/>
        <w:jc w:val="both"/>
        <w:rPr>
          <w:rFonts w:cs="Calibri"/>
        </w:rPr>
      </w:pPr>
      <w:r w:rsidRPr="006B71AD">
        <w:rPr>
          <w:rFonts w:cs="Calibri"/>
        </w:rPr>
        <w:t>“Esta nota no le aplica al ente público”, toda vez de que no se generaron eventos posteriores al cierre del ejercicio.</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4681A2A9" w:rsidR="007D1E76" w:rsidRPr="000C3365" w:rsidRDefault="005E231E" w:rsidP="000C3365">
      <w:pPr>
        <w:pStyle w:val="Ttulo2"/>
        <w:rPr>
          <w:rFonts w:asciiTheme="minorHAnsi" w:hAnsiTheme="minorHAnsi" w:cstheme="minorHAnsi"/>
          <w:b/>
          <w:color w:val="auto"/>
          <w:sz w:val="22"/>
        </w:rPr>
      </w:pPr>
      <w:bookmarkStart w:id="15" w:name="_Toc161472880"/>
      <w:r w:rsidRPr="000C3365">
        <w:rPr>
          <w:rFonts w:asciiTheme="minorHAnsi" w:hAnsiTheme="minorHAnsi" w:cstheme="minorHAnsi"/>
          <w:b/>
          <w:color w:val="auto"/>
          <w:sz w:val="22"/>
        </w:rPr>
        <w:t>1</w:t>
      </w:r>
      <w:r w:rsidR="001C34BC">
        <w:rPr>
          <w:rFonts w:asciiTheme="minorHAnsi" w:hAnsiTheme="minorHAnsi" w:cstheme="minorHAnsi"/>
          <w:b/>
          <w:color w:val="auto"/>
          <w:sz w:val="22"/>
        </w:rPr>
        <w:t>5</w:t>
      </w:r>
      <w:r w:rsidRPr="000C3365">
        <w:rPr>
          <w:rFonts w:asciiTheme="minorHAnsi" w:hAnsiTheme="minorHAnsi" w:cstheme="minorHAnsi"/>
          <w:b/>
          <w:color w:val="auto"/>
          <w:sz w:val="22"/>
        </w:rPr>
        <w:t>.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0A4C0CC6" w:rsidR="007D1E76" w:rsidRPr="00E74967" w:rsidRDefault="000A4E40" w:rsidP="00CB41C4">
      <w:pPr>
        <w:tabs>
          <w:tab w:val="left" w:leader="underscore" w:pos="9639"/>
        </w:tabs>
        <w:spacing w:after="0" w:line="240" w:lineRule="auto"/>
        <w:jc w:val="both"/>
        <w:rPr>
          <w:rFonts w:cs="Calibri"/>
        </w:rPr>
      </w:pPr>
      <w:r w:rsidRPr="000A4E40">
        <w:rPr>
          <w:rFonts w:cs="Calibri"/>
        </w:rPr>
        <w:t>“Esta nota no le aplica al ente público”, ya que no existen partes relacionadas.</w:t>
      </w:r>
    </w:p>
    <w:p w14:paraId="78699B1C" w14:textId="77777777" w:rsidR="007D1E76" w:rsidRPr="00E74967" w:rsidRDefault="007D1E76" w:rsidP="00CB41C4">
      <w:pPr>
        <w:tabs>
          <w:tab w:val="left" w:leader="underscore" w:pos="9639"/>
        </w:tabs>
        <w:spacing w:after="0" w:line="240" w:lineRule="auto"/>
        <w:jc w:val="both"/>
        <w:rPr>
          <w:rFonts w:cs="Calibri"/>
        </w:rPr>
      </w:pPr>
    </w:p>
    <w:p w14:paraId="0AABDD06" w14:textId="7DA12B42" w:rsidR="00D5018E" w:rsidRPr="000F5FB1" w:rsidRDefault="007D1E76" w:rsidP="000F5FB1">
      <w:pPr>
        <w:pStyle w:val="Ttulo2"/>
        <w:rPr>
          <w:rFonts w:asciiTheme="minorHAnsi" w:hAnsiTheme="minorHAnsi" w:cstheme="minorHAnsi"/>
          <w:b/>
          <w:color w:val="auto"/>
          <w:sz w:val="22"/>
        </w:rPr>
      </w:pPr>
      <w:bookmarkStart w:id="16" w:name="_Toc161472881"/>
      <w:r w:rsidRPr="00F46719">
        <w:rPr>
          <w:rFonts w:asciiTheme="minorHAnsi" w:hAnsiTheme="minorHAnsi" w:cstheme="minorHAnsi"/>
          <w:b/>
          <w:color w:val="auto"/>
          <w:sz w:val="22"/>
        </w:rPr>
        <w:t>1</w:t>
      </w:r>
      <w:r w:rsidR="001C34BC">
        <w:rPr>
          <w:rFonts w:asciiTheme="minorHAnsi" w:hAnsiTheme="minorHAnsi" w:cstheme="minorHAnsi"/>
          <w:b/>
          <w:color w:val="auto"/>
          <w:sz w:val="22"/>
        </w:rPr>
        <w:t>6</w:t>
      </w:r>
      <w:r w:rsidRPr="00F46719">
        <w:rPr>
          <w:rFonts w:asciiTheme="minorHAnsi" w:hAnsiTheme="minorHAnsi" w:cstheme="minorHAnsi"/>
          <w:b/>
          <w:color w:val="auto"/>
          <w:sz w:val="22"/>
        </w:rPr>
        <w:t xml:space="preserve">.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53BAFBA5" w14:textId="77777777" w:rsidR="000F5FB1" w:rsidRDefault="000F5FB1" w:rsidP="000F5FB1">
      <w:pPr>
        <w:tabs>
          <w:tab w:val="left" w:leader="underscore" w:pos="9639"/>
        </w:tabs>
        <w:spacing w:after="0" w:line="240" w:lineRule="auto"/>
        <w:jc w:val="both"/>
        <w:rPr>
          <w:rFonts w:cs="Calibri"/>
        </w:rPr>
      </w:pPr>
    </w:p>
    <w:p w14:paraId="44BF069B" w14:textId="4E169766" w:rsidR="000F5FB1" w:rsidRDefault="000F5FB1" w:rsidP="000F5FB1">
      <w:pPr>
        <w:tabs>
          <w:tab w:val="left" w:leader="underscore" w:pos="9639"/>
        </w:tabs>
        <w:spacing w:after="0" w:line="240" w:lineRule="auto"/>
        <w:jc w:val="both"/>
        <w:rPr>
          <w:rFonts w:cs="Calibri"/>
        </w:rPr>
      </w:pPr>
      <w:r w:rsidRPr="001973A2">
        <w:rPr>
          <w:rFonts w:cs="Calibri"/>
        </w:rPr>
        <w:t xml:space="preserve">“Bajo protesta de decir verdad declaramos que los Estados Financieros y sus notas, son razonablemente correctos y son responsabilidad del emisor”. Lo anterior, no </w:t>
      </w:r>
      <w:r>
        <w:rPr>
          <w:rFonts w:cs="Calibri"/>
        </w:rPr>
        <w:t>es</w:t>
      </w:r>
      <w:r w:rsidRPr="001973A2">
        <w:rPr>
          <w:rFonts w:cs="Calibri"/>
        </w:rPr>
        <w:t xml:space="preserve"> aplicable para la información contable consolidada.</w:t>
      </w:r>
    </w:p>
    <w:p w14:paraId="56E8AB9E" w14:textId="77777777" w:rsidR="000F5FB1" w:rsidRDefault="000F5FB1" w:rsidP="000F5FB1">
      <w:pPr>
        <w:tabs>
          <w:tab w:val="left" w:leader="underscore" w:pos="9639"/>
        </w:tabs>
        <w:spacing w:after="0" w:line="240" w:lineRule="auto"/>
        <w:jc w:val="center"/>
        <w:rPr>
          <w:rFonts w:asciiTheme="minorHAnsi" w:hAnsiTheme="minorHAnsi" w:cstheme="minorHAnsi"/>
        </w:rPr>
      </w:pPr>
    </w:p>
    <w:p w14:paraId="74D16815" w14:textId="66FB6F46" w:rsidR="00D5018E" w:rsidRDefault="000F5FB1" w:rsidP="000F5FB1">
      <w:pPr>
        <w:tabs>
          <w:tab w:val="left" w:leader="underscore" w:pos="9639"/>
        </w:tabs>
        <w:spacing w:after="0" w:line="240" w:lineRule="auto"/>
        <w:jc w:val="center"/>
        <w:rPr>
          <w:rFonts w:asciiTheme="minorHAnsi" w:hAnsiTheme="minorHAnsi" w:cstheme="minorHAnsi"/>
        </w:rPr>
      </w:pPr>
      <w:r w:rsidRPr="00D95947">
        <w:rPr>
          <w:rFonts w:asciiTheme="minorHAnsi" w:hAnsiTheme="minorHAnsi" w:cstheme="minorHAnsi"/>
        </w:rPr>
        <w:t>Instituto Municipal de la Juventud de León Guanajuato</w:t>
      </w:r>
    </w:p>
    <w:p w14:paraId="715D5DB8" w14:textId="65EB8FD3" w:rsidR="000F5FB1" w:rsidRDefault="000F5FB1" w:rsidP="000F5FB1">
      <w:pPr>
        <w:tabs>
          <w:tab w:val="left" w:leader="underscore" w:pos="9639"/>
        </w:tabs>
        <w:spacing w:after="0" w:line="240" w:lineRule="auto"/>
        <w:jc w:val="center"/>
        <w:rPr>
          <w:rFonts w:asciiTheme="minorHAnsi" w:hAnsiTheme="minorHAnsi" w:cstheme="minorHAnsi"/>
        </w:rPr>
      </w:pPr>
    </w:p>
    <w:p w14:paraId="18F986EB" w14:textId="37B9A31D" w:rsidR="000F5FB1" w:rsidRDefault="000F5FB1" w:rsidP="000F5FB1">
      <w:pPr>
        <w:tabs>
          <w:tab w:val="left" w:leader="underscore" w:pos="9639"/>
        </w:tabs>
        <w:spacing w:after="0" w:line="240" w:lineRule="auto"/>
        <w:jc w:val="center"/>
        <w:rPr>
          <w:rFonts w:asciiTheme="minorHAnsi" w:hAnsiTheme="minorHAnsi" w:cstheme="minorHAnsi"/>
        </w:rPr>
      </w:pPr>
    </w:p>
    <w:p w14:paraId="67B35CC9" w14:textId="77777777" w:rsidR="000F5FB1" w:rsidRDefault="000F5FB1" w:rsidP="000F5FB1">
      <w:pPr>
        <w:tabs>
          <w:tab w:val="left" w:leader="underscore" w:pos="9639"/>
        </w:tabs>
        <w:spacing w:after="0" w:line="240" w:lineRule="auto"/>
        <w:jc w:val="center"/>
        <w:rPr>
          <w:rFonts w:asciiTheme="minorHAnsi" w:hAnsiTheme="minorHAnsi" w:cstheme="minorHAnsi"/>
        </w:rPr>
      </w:pPr>
    </w:p>
    <w:p w14:paraId="23C5FB68" w14:textId="4677B884" w:rsidR="000F5FB1" w:rsidRDefault="000F5FB1" w:rsidP="000F5FB1">
      <w:pPr>
        <w:tabs>
          <w:tab w:val="left" w:leader="underscore" w:pos="9639"/>
        </w:tabs>
        <w:spacing w:after="0" w:line="240" w:lineRule="auto"/>
        <w:jc w:val="both"/>
        <w:rPr>
          <w:rFonts w:cs="Calibri"/>
        </w:rPr>
      </w:pPr>
    </w:p>
    <w:p w14:paraId="30444780" w14:textId="2292CEF7" w:rsidR="000F5FB1" w:rsidRPr="00E74967" w:rsidRDefault="000F5FB1" w:rsidP="000F5FB1">
      <w:pPr>
        <w:tabs>
          <w:tab w:val="left" w:leader="underscore" w:pos="9639"/>
        </w:tabs>
        <w:spacing w:after="0" w:line="240" w:lineRule="auto"/>
        <w:jc w:val="both"/>
        <w:rPr>
          <w:rFonts w:cs="Calibri"/>
        </w:rPr>
      </w:pPr>
      <w:r w:rsidRPr="000F5FB1">
        <w:rPr>
          <w:noProof/>
        </w:rPr>
        <w:drawing>
          <wp:inline distT="0" distB="0" distL="0" distR="0" wp14:anchorId="4713502A" wp14:editId="420910F9">
            <wp:extent cx="6151880" cy="12156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51880" cy="1215601"/>
                    </a:xfrm>
                    <a:prstGeom prst="rect">
                      <a:avLst/>
                    </a:prstGeom>
                    <a:noFill/>
                    <a:ln>
                      <a:noFill/>
                    </a:ln>
                  </pic:spPr>
                </pic:pic>
              </a:graphicData>
            </a:graphic>
          </wp:inline>
        </w:drawing>
      </w:r>
      <w:bookmarkStart w:id="17" w:name="_GoBack"/>
      <w:bookmarkEnd w:id="17"/>
    </w:p>
    <w:sectPr w:rsidR="000F5FB1"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114C9" w14:textId="77777777" w:rsidR="00520434" w:rsidRDefault="00520434" w:rsidP="00E00323">
      <w:pPr>
        <w:spacing w:after="0" w:line="240" w:lineRule="auto"/>
      </w:pPr>
      <w:r>
        <w:separator/>
      </w:r>
    </w:p>
  </w:endnote>
  <w:endnote w:type="continuationSeparator" w:id="0">
    <w:p w14:paraId="70C31E63" w14:textId="77777777" w:rsidR="00520434" w:rsidRDefault="0052043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A730E0" w:rsidRPr="00A730E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BA09A" w14:textId="77777777" w:rsidR="00520434" w:rsidRDefault="00520434" w:rsidP="00E00323">
      <w:pPr>
        <w:spacing w:after="0" w:line="240" w:lineRule="auto"/>
      </w:pPr>
      <w:r>
        <w:separator/>
      </w:r>
    </w:p>
  </w:footnote>
  <w:footnote w:type="continuationSeparator" w:id="0">
    <w:p w14:paraId="77C28ED8" w14:textId="77777777" w:rsidR="00520434" w:rsidRDefault="0052043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39ABC3" w14:textId="77777777" w:rsidR="008C33F0" w:rsidRDefault="008C33F0" w:rsidP="008C33F0">
    <w:pPr>
      <w:pStyle w:val="Encabezado"/>
      <w:tabs>
        <w:tab w:val="center" w:pos="4844"/>
        <w:tab w:val="left" w:pos="6585"/>
      </w:tabs>
      <w:spacing w:after="0" w:line="240" w:lineRule="auto"/>
      <w:jc w:val="center"/>
    </w:pPr>
    <w:r>
      <w:t>Instituto Municipal de la juventud de León Guanajuato</w:t>
    </w:r>
  </w:p>
  <w:p w14:paraId="7D7F289C" w14:textId="629D8E77" w:rsidR="008C33F0" w:rsidRDefault="008C33F0" w:rsidP="008C33F0">
    <w:pPr>
      <w:pStyle w:val="Encabezado"/>
      <w:spacing w:after="0" w:line="240" w:lineRule="auto"/>
      <w:jc w:val="center"/>
    </w:pPr>
    <w:r w:rsidRPr="00A4610E">
      <w:t>CORRESPONDI</w:t>
    </w:r>
    <w:r>
      <w:t>E</w:t>
    </w:r>
    <w:r w:rsidRPr="00A4610E">
      <w:t xml:space="preserve">NTES AL </w:t>
    </w:r>
    <w:r>
      <w:t>31 DE MARZO DEL 2024</w:t>
    </w:r>
  </w:p>
  <w:p w14:paraId="651A4C4F" w14:textId="319257A9" w:rsidR="00A4610E" w:rsidRPr="008C33F0" w:rsidRDefault="00A4610E" w:rsidP="008C33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310EF"/>
    <w:rsid w:val="00040D4F"/>
    <w:rsid w:val="00084EAE"/>
    <w:rsid w:val="00086946"/>
    <w:rsid w:val="00091CE6"/>
    <w:rsid w:val="000A4E40"/>
    <w:rsid w:val="000B7810"/>
    <w:rsid w:val="000C3365"/>
    <w:rsid w:val="000F5FB1"/>
    <w:rsid w:val="00106EE9"/>
    <w:rsid w:val="0012405A"/>
    <w:rsid w:val="0012493A"/>
    <w:rsid w:val="00154BA3"/>
    <w:rsid w:val="001973A2"/>
    <w:rsid w:val="001C34BC"/>
    <w:rsid w:val="001C710C"/>
    <w:rsid w:val="001C75F2"/>
    <w:rsid w:val="001D2063"/>
    <w:rsid w:val="001D43E9"/>
    <w:rsid w:val="00231FBE"/>
    <w:rsid w:val="00232175"/>
    <w:rsid w:val="0024740E"/>
    <w:rsid w:val="002722DD"/>
    <w:rsid w:val="00295B72"/>
    <w:rsid w:val="003453CA"/>
    <w:rsid w:val="00396D53"/>
    <w:rsid w:val="003E6C64"/>
    <w:rsid w:val="00412114"/>
    <w:rsid w:val="0043078C"/>
    <w:rsid w:val="00435A87"/>
    <w:rsid w:val="00442B98"/>
    <w:rsid w:val="00480BF4"/>
    <w:rsid w:val="004A1077"/>
    <w:rsid w:val="004A58C8"/>
    <w:rsid w:val="004F234D"/>
    <w:rsid w:val="004F6FAC"/>
    <w:rsid w:val="005053EE"/>
    <w:rsid w:val="00516100"/>
    <w:rsid w:val="00516A8F"/>
    <w:rsid w:val="00520434"/>
    <w:rsid w:val="00534E69"/>
    <w:rsid w:val="00540261"/>
    <w:rsid w:val="0054701E"/>
    <w:rsid w:val="005B5531"/>
    <w:rsid w:val="005D3E43"/>
    <w:rsid w:val="005E231E"/>
    <w:rsid w:val="005F26F9"/>
    <w:rsid w:val="005F2900"/>
    <w:rsid w:val="005F51CC"/>
    <w:rsid w:val="0064059E"/>
    <w:rsid w:val="00657009"/>
    <w:rsid w:val="00681C79"/>
    <w:rsid w:val="006B1ADF"/>
    <w:rsid w:val="006B71AD"/>
    <w:rsid w:val="006F0687"/>
    <w:rsid w:val="006F77A8"/>
    <w:rsid w:val="0073339B"/>
    <w:rsid w:val="007610BC"/>
    <w:rsid w:val="007714AB"/>
    <w:rsid w:val="007D1E76"/>
    <w:rsid w:val="007D4484"/>
    <w:rsid w:val="007E38A2"/>
    <w:rsid w:val="007F699D"/>
    <w:rsid w:val="00806269"/>
    <w:rsid w:val="0086420E"/>
    <w:rsid w:val="0086459F"/>
    <w:rsid w:val="008C33F0"/>
    <w:rsid w:val="008C3BB8"/>
    <w:rsid w:val="008E076C"/>
    <w:rsid w:val="0092765C"/>
    <w:rsid w:val="00967DDA"/>
    <w:rsid w:val="009736CB"/>
    <w:rsid w:val="009A4771"/>
    <w:rsid w:val="00A4610E"/>
    <w:rsid w:val="00A6346D"/>
    <w:rsid w:val="00A730E0"/>
    <w:rsid w:val="00AA2768"/>
    <w:rsid w:val="00AA41E5"/>
    <w:rsid w:val="00AB722B"/>
    <w:rsid w:val="00AE1F6A"/>
    <w:rsid w:val="00AF4375"/>
    <w:rsid w:val="00B073DE"/>
    <w:rsid w:val="00B6368B"/>
    <w:rsid w:val="00BA53FE"/>
    <w:rsid w:val="00BE02EB"/>
    <w:rsid w:val="00BE1AB6"/>
    <w:rsid w:val="00C4250B"/>
    <w:rsid w:val="00C4625D"/>
    <w:rsid w:val="00C54C12"/>
    <w:rsid w:val="00C93C67"/>
    <w:rsid w:val="00C97E1E"/>
    <w:rsid w:val="00CB41C4"/>
    <w:rsid w:val="00CF1316"/>
    <w:rsid w:val="00D13C44"/>
    <w:rsid w:val="00D32331"/>
    <w:rsid w:val="00D40FC2"/>
    <w:rsid w:val="00D5018E"/>
    <w:rsid w:val="00D546B2"/>
    <w:rsid w:val="00D975B1"/>
    <w:rsid w:val="00DD018C"/>
    <w:rsid w:val="00E00323"/>
    <w:rsid w:val="00E11758"/>
    <w:rsid w:val="00E74967"/>
    <w:rsid w:val="00E7559F"/>
    <w:rsid w:val="00E828BE"/>
    <w:rsid w:val="00E85520"/>
    <w:rsid w:val="00E9132F"/>
    <w:rsid w:val="00EA37F5"/>
    <w:rsid w:val="00EA7915"/>
    <w:rsid w:val="00ED7AA0"/>
    <w:rsid w:val="00EF1B77"/>
    <w:rsid w:val="00F005CD"/>
    <w:rsid w:val="00F067C8"/>
    <w:rsid w:val="00F21B7A"/>
    <w:rsid w:val="00F2722A"/>
    <w:rsid w:val="00F43AC5"/>
    <w:rsid w:val="00F46719"/>
    <w:rsid w:val="00F54F6F"/>
    <w:rsid w:val="00F6102D"/>
    <w:rsid w:val="00F65A92"/>
    <w:rsid w:val="00F6759B"/>
    <w:rsid w:val="00FC1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D3CCCD0CFC8E48A23B0770796809E1" ma:contentTypeVersion="11" ma:contentTypeDescription="Crear nuevo documento." ma:contentTypeScope="" ma:versionID="bf3a443534d628b30ad7b72686e46350">
  <xsd:schema xmlns:xsd="http://www.w3.org/2001/XMLSchema" xmlns:xs="http://www.w3.org/2001/XMLSchema" xmlns:p="http://schemas.microsoft.com/office/2006/metadata/properties" xmlns:ns2="0c865bf4-0f22-4e4d-b041-7b0c1657e5a8" xmlns:ns3="6aa8a68a-ab09-4ac8-a697-fdce915bc567" targetNamespace="http://schemas.microsoft.com/office/2006/metadata/properties" ma:root="true" ma:fieldsID="cb5505446f330f50c51622ed5cc53a4b" ns2:_="" ns3:_="">
    <xsd:import namespace="0c865bf4-0f22-4e4d-b041-7b0c1657e5a8"/>
    <xsd:import namespace="6aa8a68a-ab09-4ac8-a697-fdce915bc567"/>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LengthInSeconds" minOccurs="0"/>
                <xsd:element ref="ns2:MediaServiceDateTaken" minOccurs="0"/>
                <xsd:element ref="ns2:MediaServiceObjectDetectorVersions" minOccurs="0"/>
                <xsd:element ref="ns2:MediaServiceGenerationTime" minOccurs="0"/>
                <xsd:element ref="ns2:MediaServiceEventHashCode" minOccurs="0"/>
                <xsd:element ref="ns3:SharedWithUsers" minOccurs="0"/>
                <xsd:element ref="ns3:SharedWithDetails" minOccurs="0"/>
                <xsd:element ref="ns2:_x00bf_Formatomodificado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865bf4-0f22-4e4d-b041-7b0c1657e5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x00bf_Formatomodificado_x003f_" ma:index="18" nillable="true" ma:displayName="¿Formato modificado?" ma:default="1" ma:format="Dropdown" ma:internalName="_x00bf_Formatomodificado_x003f_">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aa8a68a-ab09-4ac8-a697-fdce915bc567"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0bf_Formatomodificado_x003f_ xmlns="0c865bf4-0f22-4e4d-b041-7b0c1657e5a8">true</_x00bf_Formatomodificado_x003f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B9485-7FE9-43F0-809A-30EC26A19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865bf4-0f22-4e4d-b041-7b0c1657e5a8"/>
    <ds:schemaRef ds:uri="6aa8a68a-ab09-4ac8-a697-fdce915bc5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0c865bf4-0f22-4e4d-b041-7b0c1657e5a8"/>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8BCEFFAE-492F-4C83-AF2B-031CC7A30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8</Pages>
  <Words>2612</Words>
  <Characters>14372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16951</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Instituto de la Juventud</cp:lastModifiedBy>
  <cp:revision>79</cp:revision>
  <dcterms:created xsi:type="dcterms:W3CDTF">2017-01-12T05:27:00Z</dcterms:created>
  <dcterms:modified xsi:type="dcterms:W3CDTF">2024-04-22T19:21:00Z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0x010100F4D3CCCD0CFC8E48A23B0770796809E1</vt:lpwstr>
  </property>
</Properties>
</file>