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A50D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A50D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A50D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A50D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A50D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A50D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A50D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A50D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A50D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A50D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A50D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A50D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A50D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A50D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A50D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A50D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A50D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2" w:name="_Hlk507892619"/>
      <w:r w:rsidRPr="00F04170">
        <w:rPr>
          <w:rFonts w:cs="Calibri"/>
        </w:rPr>
        <w:t>Instituto Municipal de la Juventud de León Guanajuato</w:t>
      </w:r>
      <w:bookmarkEnd w:id="2"/>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3"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3"/>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4"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4"/>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5"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5"/>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1A8726AA"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30 de junio del 2020</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Instituto Municipal de la Juventud de León Guanajuato Persona Moral sin fines de lucro.-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w:t>
      </w:r>
      <w:proofErr w:type="spellStart"/>
      <w:r>
        <w:rPr>
          <w:rFonts w:cs="Calibri"/>
        </w:rPr>
        <w:t>Infonavit</w:t>
      </w:r>
      <w:proofErr w:type="spellEnd"/>
      <w:r>
        <w:rPr>
          <w:rFonts w:cs="Calibri"/>
        </w:rPr>
        <w:t xml:space="preserve">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6"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6"/>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7"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7"/>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BAAB7" w14:textId="77777777" w:rsidR="004A50D9" w:rsidRDefault="004A50D9" w:rsidP="00E00323">
      <w:pPr>
        <w:spacing w:after="0" w:line="240" w:lineRule="auto"/>
      </w:pPr>
      <w:r>
        <w:separator/>
      </w:r>
    </w:p>
  </w:endnote>
  <w:endnote w:type="continuationSeparator" w:id="0">
    <w:p w14:paraId="539AAE82" w14:textId="77777777" w:rsidR="004A50D9" w:rsidRDefault="004A50D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42A0D" w:rsidRPr="00C42A0D">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A04A" w14:textId="77777777" w:rsidR="004A50D9" w:rsidRDefault="004A50D9" w:rsidP="00E00323">
      <w:pPr>
        <w:spacing w:after="0" w:line="240" w:lineRule="auto"/>
      </w:pPr>
      <w:r>
        <w:separator/>
      </w:r>
    </w:p>
  </w:footnote>
  <w:footnote w:type="continuationSeparator" w:id="0">
    <w:p w14:paraId="12AB7A08" w14:textId="77777777" w:rsidR="004A50D9" w:rsidRDefault="004A50D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5FCD3E9B" w:rsidR="003F51C3" w:rsidRDefault="00785AF3" w:rsidP="003F51C3">
    <w:pPr>
      <w:pStyle w:val="Encabezado"/>
      <w:spacing w:after="0" w:line="240" w:lineRule="auto"/>
      <w:jc w:val="center"/>
    </w:pPr>
    <w:r>
      <w:t>Correspondiente al 30 de Junio</w:t>
    </w:r>
    <w:r w:rsidR="003F51C3">
      <w:t xml:space="preserve"> del 2020.</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95537"/>
    <w:rsid w:val="000B7810"/>
    <w:rsid w:val="000C3365"/>
    <w:rsid w:val="0012405A"/>
    <w:rsid w:val="00133739"/>
    <w:rsid w:val="00154BA3"/>
    <w:rsid w:val="00164962"/>
    <w:rsid w:val="001973A2"/>
    <w:rsid w:val="001C75F2"/>
    <w:rsid w:val="001D2063"/>
    <w:rsid w:val="001D43E9"/>
    <w:rsid w:val="003453CA"/>
    <w:rsid w:val="003F51C3"/>
    <w:rsid w:val="00435A87"/>
    <w:rsid w:val="004A50D9"/>
    <w:rsid w:val="004A58C8"/>
    <w:rsid w:val="004F234D"/>
    <w:rsid w:val="0054701E"/>
    <w:rsid w:val="00590EA3"/>
    <w:rsid w:val="005B5531"/>
    <w:rsid w:val="005D3E43"/>
    <w:rsid w:val="005E231E"/>
    <w:rsid w:val="00657009"/>
    <w:rsid w:val="00681C79"/>
    <w:rsid w:val="007610BC"/>
    <w:rsid w:val="007714AB"/>
    <w:rsid w:val="00785AF3"/>
    <w:rsid w:val="007D1E76"/>
    <w:rsid w:val="007D4484"/>
    <w:rsid w:val="0086459F"/>
    <w:rsid w:val="008C3BB8"/>
    <w:rsid w:val="008C7CD2"/>
    <w:rsid w:val="008E076C"/>
    <w:rsid w:val="0092765C"/>
    <w:rsid w:val="009A18C4"/>
    <w:rsid w:val="00A4610E"/>
    <w:rsid w:val="00A730E0"/>
    <w:rsid w:val="00AA41E5"/>
    <w:rsid w:val="00AB722B"/>
    <w:rsid w:val="00AE1F6A"/>
    <w:rsid w:val="00C37269"/>
    <w:rsid w:val="00C42A0D"/>
    <w:rsid w:val="00C97E1E"/>
    <w:rsid w:val="00CB41C4"/>
    <w:rsid w:val="00CF1316"/>
    <w:rsid w:val="00D13C44"/>
    <w:rsid w:val="00D65033"/>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B324E8-05C3-47D2-BE04-B8B6368D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2291</Words>
  <Characters>12602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León Joven</cp:lastModifiedBy>
  <cp:revision>22</cp:revision>
  <dcterms:created xsi:type="dcterms:W3CDTF">2017-01-12T05:27:00Z</dcterms:created>
  <dcterms:modified xsi:type="dcterms:W3CDTF">2020-07-20T14:05:00Z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