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B35D71" w:rsidP="00E0751D">
      <w:pPr>
        <w:spacing w:after="0" w:line="240" w:lineRule="auto"/>
      </w:pPr>
      <w:r>
        <w:t>NO APLICA</w:t>
      </w:r>
    </w:p>
    <w:p w:rsidR="00B35D71" w:rsidRDefault="00B35D71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8E054F" w:rsidRDefault="008E054F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:rsidR="00E0751D" w:rsidRPr="0012031E" w:rsidRDefault="00265B2B" w:rsidP="00265B2B">
      <w:pPr>
        <w:tabs>
          <w:tab w:val="center" w:pos="4702"/>
          <w:tab w:val="right" w:pos="9404"/>
        </w:tabs>
        <w:spacing w:after="0" w:line="240" w:lineRule="auto"/>
        <w:rPr>
          <w:rStyle w:val="Hipervnculo"/>
          <w:rFonts w:ascii="Calibri" w:eastAsia="Calibri" w:hAnsi="Calibri" w:cs="Calibri"/>
          <w:b/>
          <w:sz w:val="28"/>
          <w:szCs w:val="28"/>
        </w:rPr>
      </w:pPr>
      <w:r>
        <w:rPr>
          <w:rStyle w:val="Hipervnculo"/>
          <w:rFonts w:ascii="Calibri" w:eastAsia="Calibri" w:hAnsi="Calibri" w:cs="Calibri"/>
          <w:b/>
          <w:sz w:val="28"/>
          <w:szCs w:val="28"/>
        </w:rPr>
        <w:tab/>
      </w:r>
      <w:r w:rsidR="00E0751D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ab/>
      </w:r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p w:rsidR="0012031E" w:rsidRDefault="0012031E" w:rsidP="00265B2B">
      <w:pPr>
        <w:spacing w:after="0" w:line="240" w:lineRule="auto"/>
        <w:jc w:val="right"/>
      </w:pPr>
      <w:bookmarkStart w:id="0" w:name="_GoBack"/>
      <w:bookmarkEnd w:id="0"/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5814D4" w:rsidRDefault="005814D4" w:rsidP="005814D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lastRenderedPageBreak/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6"/>
      <w:footerReference w:type="default" r:id="rId1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FC" w:rsidRDefault="00F56AFC" w:rsidP="0012031E">
      <w:pPr>
        <w:spacing w:after="0" w:line="240" w:lineRule="auto"/>
      </w:pPr>
      <w:r>
        <w:separator/>
      </w:r>
    </w:p>
  </w:endnote>
  <w:endnote w:type="continuationSeparator" w:id="0">
    <w:p w:rsidR="00F56AFC" w:rsidRDefault="00F56AF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AA1F97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0F162C" w:rsidRPr="000F162C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FC" w:rsidRDefault="00F56AFC" w:rsidP="0012031E">
      <w:pPr>
        <w:spacing w:after="0" w:line="240" w:lineRule="auto"/>
      </w:pPr>
      <w:r>
        <w:separator/>
      </w:r>
    </w:p>
  </w:footnote>
  <w:footnote w:type="continuationSeparator" w:id="0">
    <w:p w:rsidR="00F56AFC" w:rsidRDefault="00F56AF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B3" w:rsidRDefault="00265B2B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>
      <w:rPr>
        <w:rFonts w:cs="Calibri"/>
        <w:b/>
        <w:color w:val="A6A6A6" w:themeColor="background1" w:themeShade="A6"/>
        <w:sz w:val="24"/>
        <w:szCs w:val="24"/>
      </w:rPr>
      <w:t>FIDEICOMISO PROMOCIÓN JUVENIL</w:t>
    </w:r>
  </w:p>
  <w:p w:rsidR="00B86DB3" w:rsidRPr="00833069" w:rsidRDefault="00B86DB3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>
      <w:rPr>
        <w:rFonts w:cs="Calibri"/>
        <w:b/>
        <w:color w:val="A6A6A6" w:themeColor="background1" w:themeShade="A6"/>
        <w:sz w:val="24"/>
        <w:szCs w:val="24"/>
      </w:rPr>
      <w:t xml:space="preserve">CORRESPONDIENTE DEL 01 DE </w:t>
    </w:r>
    <w:r w:rsidR="00DB20D6">
      <w:rPr>
        <w:rFonts w:cs="Calibri"/>
        <w:b/>
        <w:color w:val="A6A6A6" w:themeColor="background1" w:themeShade="A6"/>
        <w:sz w:val="24"/>
        <w:szCs w:val="24"/>
      </w:rPr>
      <w:t>ENERO</w:t>
    </w:r>
    <w:r w:rsidR="000F162C">
      <w:rPr>
        <w:rFonts w:cs="Calibri"/>
        <w:b/>
        <w:color w:val="A6A6A6" w:themeColor="background1" w:themeShade="A6"/>
        <w:sz w:val="24"/>
        <w:szCs w:val="24"/>
      </w:rPr>
      <w:t xml:space="preserve"> AL 31</w:t>
    </w:r>
    <w:r>
      <w:rPr>
        <w:rFonts w:cs="Calibri"/>
        <w:b/>
        <w:color w:val="A6A6A6" w:themeColor="background1" w:themeShade="A6"/>
        <w:sz w:val="24"/>
        <w:szCs w:val="24"/>
      </w:rPr>
      <w:t xml:space="preserve"> DE </w:t>
    </w:r>
    <w:r w:rsidR="000F162C">
      <w:rPr>
        <w:rFonts w:cs="Calibri"/>
        <w:b/>
        <w:color w:val="A6A6A6" w:themeColor="background1" w:themeShade="A6"/>
        <w:sz w:val="24"/>
        <w:szCs w:val="24"/>
      </w:rPr>
      <w:t>DIC</w:t>
    </w:r>
    <w:r w:rsidR="00DB20D6">
      <w:rPr>
        <w:rFonts w:cs="Calibri"/>
        <w:b/>
        <w:color w:val="A6A6A6" w:themeColor="background1" w:themeShade="A6"/>
        <w:sz w:val="24"/>
        <w:szCs w:val="24"/>
      </w:rPr>
      <w:t>IEMBRE</w:t>
    </w:r>
    <w:r>
      <w:rPr>
        <w:rFonts w:cs="Calibri"/>
        <w:b/>
        <w:color w:val="A6A6A6" w:themeColor="background1" w:themeShade="A6"/>
        <w:sz w:val="24"/>
        <w:szCs w:val="24"/>
      </w:rPr>
      <w:t xml:space="preserve"> DEL 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1D"/>
    <w:rsid w:val="000F162C"/>
    <w:rsid w:val="001055D8"/>
    <w:rsid w:val="0012031E"/>
    <w:rsid w:val="00265B2B"/>
    <w:rsid w:val="00371A44"/>
    <w:rsid w:val="004234D7"/>
    <w:rsid w:val="004C23EA"/>
    <w:rsid w:val="005814D4"/>
    <w:rsid w:val="005828AA"/>
    <w:rsid w:val="005C2D74"/>
    <w:rsid w:val="008E054F"/>
    <w:rsid w:val="00940570"/>
    <w:rsid w:val="0094598E"/>
    <w:rsid w:val="00A827B2"/>
    <w:rsid w:val="00AA1F97"/>
    <w:rsid w:val="00AF5CAD"/>
    <w:rsid w:val="00B35D71"/>
    <w:rsid w:val="00B82BD2"/>
    <w:rsid w:val="00B86DB3"/>
    <w:rsid w:val="00BB0607"/>
    <w:rsid w:val="00DB20D6"/>
    <w:rsid w:val="00E0751D"/>
    <w:rsid w:val="00F5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B60FF-9692-4D8C-A643-F3CEC33A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Leon Joven</cp:lastModifiedBy>
  <cp:revision>11</cp:revision>
  <cp:lastPrinted>2018-10-22T20:48:00Z</cp:lastPrinted>
  <dcterms:created xsi:type="dcterms:W3CDTF">2018-05-10T19:01:00Z</dcterms:created>
  <dcterms:modified xsi:type="dcterms:W3CDTF">2019-01-22T16:41:00Z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